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1D65" w14:textId="77777777" w:rsidR="00CA3A2B" w:rsidRDefault="00CA3A2B" w:rsidP="00CA3A2B">
      <w:pPr>
        <w:spacing w:before="120"/>
        <w:rPr>
          <w:rFonts w:ascii="Upgrade Medium" w:hAnsi="Upgrade Medium" w:cstheme="minorHAnsi"/>
          <w:bCs/>
          <w:i/>
          <w:iCs/>
        </w:rPr>
      </w:pPr>
    </w:p>
    <w:p w14:paraId="19ECFB7B" w14:textId="01EE602C" w:rsidR="00DF66FE" w:rsidRPr="00312D9A" w:rsidRDefault="00DF66FE" w:rsidP="00CA3A2B">
      <w:pPr>
        <w:spacing w:before="120"/>
        <w:rPr>
          <w:rFonts w:ascii="Upgrade Medium" w:hAnsi="Upgrade Medium" w:cstheme="minorHAnsi"/>
          <w:bCs/>
          <w:i/>
          <w:iCs/>
          <w:sz w:val="36"/>
          <w:szCs w:val="36"/>
        </w:rPr>
      </w:pPr>
      <w:r w:rsidRPr="00312D9A">
        <w:rPr>
          <w:rFonts w:ascii="Upgrade Medium" w:hAnsi="Upgrade Medium" w:cstheme="minorHAnsi"/>
          <w:bCs/>
          <w:i/>
          <w:iCs/>
          <w:color w:val="252D64"/>
          <w:sz w:val="36"/>
          <w:szCs w:val="36"/>
        </w:rPr>
        <w:t>Drug Court Review</w:t>
      </w:r>
      <w:r w:rsidR="00CA3A2B" w:rsidRPr="00312D9A">
        <w:rPr>
          <w:rFonts w:ascii="Upgrade Medium" w:hAnsi="Upgrade Medium" w:cstheme="minorHAnsi"/>
          <w:bCs/>
          <w:i/>
          <w:iCs/>
          <w:color w:val="FF0000"/>
          <w:sz w:val="36"/>
          <w:szCs w:val="36"/>
        </w:rPr>
        <w:t xml:space="preserve"> </w:t>
      </w:r>
      <w:r w:rsidR="00CA3A2B" w:rsidRPr="00312D9A">
        <w:rPr>
          <w:rFonts w:ascii="Upgrade" w:hAnsi="Upgrade" w:cstheme="minorHAnsi"/>
          <w:bCs/>
          <w:sz w:val="36"/>
          <w:szCs w:val="36"/>
        </w:rPr>
        <w:t>—</w:t>
      </w:r>
      <w:r w:rsidR="00CA3A2B" w:rsidRPr="00312D9A">
        <w:rPr>
          <w:rFonts w:ascii="Upgrade Medium" w:hAnsi="Upgrade Medium" w:cstheme="minorHAnsi"/>
          <w:bCs/>
          <w:sz w:val="36"/>
          <w:szCs w:val="36"/>
        </w:rPr>
        <w:t xml:space="preserve"> </w:t>
      </w:r>
      <w:r w:rsidR="00CA3A2B" w:rsidRPr="00312D9A">
        <w:rPr>
          <w:rFonts w:ascii="Upgrade" w:hAnsi="Upgrade" w:cstheme="minorHAnsi"/>
          <w:bCs/>
          <w:color w:val="2C63AE"/>
          <w:sz w:val="36"/>
          <w:szCs w:val="36"/>
        </w:rPr>
        <w:t>Author Guidelines</w:t>
      </w:r>
    </w:p>
    <w:p w14:paraId="57A5DEA1" w14:textId="669DDEF6" w:rsidR="00AD5C57" w:rsidRPr="00B67B72" w:rsidRDefault="007B63D3" w:rsidP="007B63D3">
      <w:pPr>
        <w:pStyle w:val="NormalWeb"/>
        <w:rPr>
          <w:rFonts w:ascii="Rubik" w:hAnsi="Rubik" w:cs="Rubik"/>
          <w:sz w:val="22"/>
          <w:szCs w:val="22"/>
        </w:rPr>
      </w:pPr>
      <w:r w:rsidRPr="00B67B72">
        <w:rPr>
          <w:rFonts w:ascii="Rubik" w:hAnsi="Rubik" w:cs="Rubik"/>
          <w:sz w:val="22"/>
          <w:szCs w:val="22"/>
        </w:rPr>
        <w:t xml:space="preserve">Published annually, the </w:t>
      </w:r>
      <w:r w:rsidRPr="00B67B72">
        <w:rPr>
          <w:rFonts w:ascii="Rubik" w:hAnsi="Rubik" w:cs="Rubik"/>
          <w:i/>
          <w:iCs/>
          <w:sz w:val="22"/>
          <w:szCs w:val="22"/>
        </w:rPr>
        <w:t>Drug Court Review</w:t>
      </w:r>
      <w:r w:rsidRPr="00B67B72">
        <w:rPr>
          <w:rFonts w:ascii="Rubik" w:hAnsi="Rubik" w:cs="Rubik"/>
          <w:sz w:val="22"/>
          <w:szCs w:val="22"/>
        </w:rPr>
        <w:t xml:space="preserve">’s goal is to keep the Drug Court practitioner abreast of important new developments in the </w:t>
      </w:r>
      <w:r w:rsidR="001C3587">
        <w:rPr>
          <w:rFonts w:ascii="Rubik" w:hAnsi="Rubik" w:cs="Rubik"/>
          <w:sz w:val="22"/>
          <w:szCs w:val="22"/>
        </w:rPr>
        <w:t>treatment court</w:t>
      </w:r>
      <w:r w:rsidRPr="00B67B72">
        <w:rPr>
          <w:rFonts w:ascii="Rubik" w:hAnsi="Rubik" w:cs="Rubik"/>
          <w:sz w:val="22"/>
          <w:szCs w:val="22"/>
        </w:rPr>
        <w:t xml:space="preserve"> field. </w:t>
      </w:r>
      <w:r w:rsidR="00635424">
        <w:rPr>
          <w:rFonts w:ascii="Rubik" w:hAnsi="Rubik" w:cs="Rubik"/>
          <w:sz w:val="22"/>
          <w:szCs w:val="22"/>
        </w:rPr>
        <w:t xml:space="preserve">Treatment </w:t>
      </w:r>
      <w:r w:rsidRPr="00B67B72">
        <w:rPr>
          <w:rFonts w:ascii="Rubik" w:hAnsi="Rubik" w:cs="Rubik"/>
          <w:sz w:val="22"/>
          <w:szCs w:val="22"/>
        </w:rPr>
        <w:t>Courts demand a great deal of time and energy of the practitioner, allowing little opportunity to read lengthy evaluations or keep up with important research in the field. Yet, the ability to marshal scientific and research information and “argue the facts” can be critical to a program’s success and ultimate survival.</w:t>
      </w:r>
    </w:p>
    <w:p w14:paraId="024B891E" w14:textId="79AE0009" w:rsidR="007B63D3" w:rsidRPr="00B67B72" w:rsidRDefault="007B63D3" w:rsidP="007B63D3">
      <w:pPr>
        <w:pStyle w:val="NormalWeb"/>
        <w:rPr>
          <w:rFonts w:ascii="Rubik" w:hAnsi="Rubik" w:cs="Rubik"/>
          <w:sz w:val="22"/>
          <w:szCs w:val="22"/>
        </w:rPr>
      </w:pPr>
      <w:r w:rsidRPr="00B67B72">
        <w:rPr>
          <w:rFonts w:ascii="Rubik" w:hAnsi="Rubik" w:cs="Rubik"/>
          <w:sz w:val="22"/>
          <w:szCs w:val="22"/>
        </w:rPr>
        <w:t xml:space="preserve">The </w:t>
      </w:r>
      <w:r w:rsidRPr="00B67B72">
        <w:rPr>
          <w:rFonts w:ascii="Rubik" w:hAnsi="Rubik" w:cs="Rubik"/>
          <w:i/>
          <w:iCs/>
          <w:sz w:val="22"/>
          <w:szCs w:val="22"/>
        </w:rPr>
        <w:t>Drug Court Review</w:t>
      </w:r>
      <w:r w:rsidRPr="00B67B72">
        <w:rPr>
          <w:rFonts w:ascii="Rubik" w:hAnsi="Rubik" w:cs="Rubik"/>
          <w:sz w:val="22"/>
          <w:szCs w:val="22"/>
        </w:rPr>
        <w:t xml:space="preserve"> builds a bridge between law, science, and clinical communities, providing a common tool</w:t>
      </w:r>
      <w:r w:rsidR="00635424">
        <w:rPr>
          <w:rFonts w:ascii="Rubik" w:hAnsi="Rubik" w:cs="Rubik"/>
          <w:sz w:val="22"/>
          <w:szCs w:val="22"/>
        </w:rPr>
        <w:t xml:space="preserve"> that is accessible and of interest</w:t>
      </w:r>
      <w:r w:rsidRPr="00B67B72">
        <w:rPr>
          <w:rFonts w:ascii="Rubik" w:hAnsi="Rubik" w:cs="Rubik"/>
          <w:sz w:val="22"/>
          <w:szCs w:val="22"/>
        </w:rPr>
        <w:t xml:space="preserve"> to all.</w:t>
      </w:r>
      <w:r w:rsidR="00635424">
        <w:rPr>
          <w:rFonts w:ascii="Rubik" w:hAnsi="Rubik" w:cs="Rubik"/>
          <w:sz w:val="22"/>
          <w:szCs w:val="22"/>
        </w:rPr>
        <w:t xml:space="preserve"> </w:t>
      </w:r>
      <w:r w:rsidRPr="00B67B72">
        <w:rPr>
          <w:rFonts w:ascii="Rubik" w:hAnsi="Rubik" w:cs="Rubik"/>
          <w:sz w:val="22"/>
          <w:szCs w:val="22"/>
        </w:rPr>
        <w:t xml:space="preserve">Although the </w:t>
      </w:r>
      <w:r w:rsidRPr="00B67B72">
        <w:rPr>
          <w:rFonts w:ascii="Rubik" w:hAnsi="Rubik" w:cs="Rubik"/>
          <w:i/>
          <w:iCs/>
          <w:sz w:val="22"/>
          <w:szCs w:val="22"/>
        </w:rPr>
        <w:t>Drug Court Review</w:t>
      </w:r>
      <w:r w:rsidRPr="00B67B72">
        <w:rPr>
          <w:rFonts w:ascii="Rubik" w:hAnsi="Rubik" w:cs="Rubik"/>
          <w:sz w:val="22"/>
          <w:szCs w:val="22"/>
        </w:rPr>
        <w:t xml:space="preserve">’s emphasis is on scholarship and scientific research, it also provides commentary from experts in the </w:t>
      </w:r>
      <w:r w:rsidR="00635424">
        <w:rPr>
          <w:rFonts w:ascii="Rubik" w:hAnsi="Rubik" w:cs="Rubik"/>
          <w:sz w:val="22"/>
          <w:szCs w:val="22"/>
        </w:rPr>
        <w:t>d</w:t>
      </w:r>
      <w:r w:rsidRPr="00B67B72">
        <w:rPr>
          <w:rFonts w:ascii="Rubik" w:hAnsi="Rubik" w:cs="Rubik"/>
          <w:sz w:val="22"/>
          <w:szCs w:val="22"/>
        </w:rPr>
        <w:t xml:space="preserve">rug </w:t>
      </w:r>
      <w:r w:rsidR="00635424">
        <w:rPr>
          <w:rFonts w:ascii="Rubik" w:hAnsi="Rubik" w:cs="Rubik"/>
          <w:sz w:val="22"/>
          <w:szCs w:val="22"/>
        </w:rPr>
        <w:t>c</w:t>
      </w:r>
      <w:r w:rsidRPr="00B67B72">
        <w:rPr>
          <w:rFonts w:ascii="Rubik" w:hAnsi="Rubik" w:cs="Rubik"/>
          <w:sz w:val="22"/>
          <w:szCs w:val="22"/>
        </w:rPr>
        <w:t xml:space="preserve">ourt and related fields </w:t>
      </w:r>
      <w:r w:rsidR="00635424">
        <w:rPr>
          <w:rFonts w:ascii="Rubik" w:hAnsi="Rubik" w:cs="Rubik"/>
          <w:sz w:val="22"/>
          <w:szCs w:val="22"/>
        </w:rPr>
        <w:t xml:space="preserve">that treatment court practitioners can apply to their everyday work. </w:t>
      </w:r>
      <w:r w:rsidR="009914DA" w:rsidRPr="00B67B72">
        <w:rPr>
          <w:rFonts w:ascii="Rubik" w:hAnsi="Rubik" w:cs="Rubik"/>
          <w:sz w:val="22"/>
          <w:szCs w:val="22"/>
        </w:rPr>
        <w:t xml:space="preserve">Each volume of the </w:t>
      </w:r>
      <w:r w:rsidR="009914DA" w:rsidRPr="00B67B72">
        <w:rPr>
          <w:rFonts w:ascii="Rubik" w:hAnsi="Rubik" w:cs="Rubik"/>
          <w:i/>
          <w:iCs/>
          <w:sz w:val="22"/>
          <w:szCs w:val="22"/>
        </w:rPr>
        <w:t>Drug Court Review</w:t>
      </w:r>
      <w:r w:rsidR="009914DA" w:rsidRPr="00B67B72">
        <w:rPr>
          <w:rFonts w:ascii="Rubik" w:hAnsi="Rubik" w:cs="Rubik"/>
          <w:sz w:val="22"/>
          <w:szCs w:val="22"/>
        </w:rPr>
        <w:t xml:space="preserve"> focuses on a specific theme central to the field and features the results of research conducted by both scholars and practitioners. </w:t>
      </w:r>
      <w:r w:rsidR="009914DA" w:rsidRPr="00B67B72">
        <w:rPr>
          <w:rFonts w:ascii="Rubik Medium" w:hAnsi="Rubik Medium" w:cs="Rubik Medium"/>
          <w:sz w:val="22"/>
          <w:szCs w:val="22"/>
        </w:rPr>
        <w:t>The theme for the Fall 2020 volume will forthcoming.</w:t>
      </w:r>
    </w:p>
    <w:p w14:paraId="296275DF" w14:textId="44246EF0" w:rsidR="007B63D3" w:rsidRPr="00B67B72" w:rsidRDefault="007B63D3" w:rsidP="00312D9A">
      <w:pPr>
        <w:pStyle w:val="NormalWeb"/>
        <w:rPr>
          <w:rFonts w:ascii="Rubik" w:hAnsi="Rubik" w:cs="Rubik"/>
          <w:sz w:val="22"/>
          <w:szCs w:val="22"/>
        </w:rPr>
      </w:pPr>
      <w:r w:rsidRPr="00B67B72">
        <w:rPr>
          <w:rFonts w:ascii="Rubik" w:hAnsi="Rubik" w:cs="Rubik"/>
          <w:sz w:val="22"/>
          <w:szCs w:val="22"/>
        </w:rPr>
        <w:t xml:space="preserve">The </w:t>
      </w:r>
      <w:r w:rsidRPr="00B67B72">
        <w:rPr>
          <w:rFonts w:ascii="Rubik" w:hAnsi="Rubik" w:cs="Rubik"/>
          <w:i/>
          <w:iCs/>
          <w:sz w:val="22"/>
          <w:szCs w:val="22"/>
        </w:rPr>
        <w:t>Drug Court Review</w:t>
      </w:r>
      <w:r w:rsidRPr="00B67B72">
        <w:rPr>
          <w:rFonts w:ascii="Rubik" w:hAnsi="Rubik" w:cs="Rubik"/>
          <w:sz w:val="22"/>
          <w:szCs w:val="22"/>
        </w:rPr>
        <w:t xml:space="preserve"> invites submission of articles relevant to the </w:t>
      </w:r>
      <w:r w:rsidR="00635424">
        <w:rPr>
          <w:rFonts w:ascii="Rubik" w:hAnsi="Rubik" w:cs="Rubik"/>
          <w:sz w:val="22"/>
          <w:szCs w:val="22"/>
        </w:rPr>
        <w:t>treatment court</w:t>
      </w:r>
      <w:r w:rsidRPr="00B67B72">
        <w:rPr>
          <w:rFonts w:ascii="Rubik" w:hAnsi="Rubik" w:cs="Rubik"/>
          <w:sz w:val="22"/>
          <w:szCs w:val="22"/>
        </w:rPr>
        <w:t xml:space="preserve"> field. T</w:t>
      </w:r>
      <w:r w:rsidR="00635424">
        <w:rPr>
          <w:rFonts w:ascii="Rubik" w:hAnsi="Rubik" w:cs="Rubik"/>
          <w:sz w:val="22"/>
          <w:szCs w:val="22"/>
        </w:rPr>
        <w:t>opics may include e</w:t>
      </w:r>
      <w:r w:rsidR="001C3587" w:rsidRPr="001C3587">
        <w:rPr>
          <w:rFonts w:ascii="Rubik" w:hAnsi="Rubik" w:cs="Rubik"/>
          <w:sz w:val="22"/>
          <w:szCs w:val="22"/>
        </w:rPr>
        <w:t xml:space="preserve">quity/inclusion, drug testing, case management, cost analysis, program evaluation, legal issues, application of incentives and sanctions, and </w:t>
      </w:r>
      <w:r w:rsidR="00635424">
        <w:rPr>
          <w:rFonts w:ascii="Rubik" w:hAnsi="Rubik" w:cs="Rubik"/>
          <w:sz w:val="22"/>
          <w:szCs w:val="22"/>
        </w:rPr>
        <w:t xml:space="preserve">therapeutic </w:t>
      </w:r>
      <w:r w:rsidR="001C3587" w:rsidRPr="001C3587">
        <w:rPr>
          <w:rFonts w:ascii="Rubik" w:hAnsi="Rubik" w:cs="Rubik"/>
          <w:sz w:val="22"/>
          <w:szCs w:val="22"/>
        </w:rPr>
        <w:t xml:space="preserve">treatment </w:t>
      </w:r>
      <w:r w:rsidR="00635424">
        <w:rPr>
          <w:rFonts w:ascii="Rubik" w:hAnsi="Rubik" w:cs="Rubik"/>
          <w:sz w:val="22"/>
          <w:szCs w:val="22"/>
        </w:rPr>
        <w:t>strategies</w:t>
      </w:r>
      <w:r w:rsidR="001C3587" w:rsidRPr="001C3587">
        <w:rPr>
          <w:rFonts w:ascii="Rubik" w:hAnsi="Rubik" w:cs="Rubik"/>
          <w:sz w:val="22"/>
          <w:szCs w:val="22"/>
        </w:rPr>
        <w:t>.</w:t>
      </w:r>
    </w:p>
    <w:p w14:paraId="2D52F1B7" w14:textId="586BDC5A" w:rsidR="00312D9A" w:rsidRPr="00312D9A" w:rsidRDefault="00D31C90" w:rsidP="00312D9A">
      <w:pPr>
        <w:spacing w:line="360" w:lineRule="auto"/>
        <w:rPr>
          <w:rFonts w:ascii="Rubik Medium" w:hAnsi="Rubik Medium" w:cs="Rubik Medium"/>
          <w:bCs/>
          <w:u w:val="single"/>
        </w:rPr>
      </w:pPr>
      <w:r w:rsidRPr="00312D9A">
        <w:rPr>
          <w:rFonts w:ascii="Rubik Medium" w:hAnsi="Rubik Medium" w:cs="Rubik Medium"/>
          <w:bCs/>
          <w:u w:val="single"/>
        </w:rPr>
        <w:t>Article Manuscript Submission</w:t>
      </w:r>
    </w:p>
    <w:p w14:paraId="0C81334E" w14:textId="6073E7EA" w:rsidR="00D61DEA" w:rsidRPr="00312D9A" w:rsidRDefault="009803C3" w:rsidP="00237091">
      <w:pPr>
        <w:rPr>
          <w:rFonts w:ascii="Rubik" w:hAnsi="Rubik" w:cs="Rubik"/>
          <w:sz w:val="22"/>
          <w:szCs w:val="22"/>
        </w:rPr>
      </w:pPr>
      <w:r w:rsidRPr="00312D9A">
        <w:rPr>
          <w:rFonts w:ascii="Rubik" w:hAnsi="Rubik" w:cs="Rubik"/>
          <w:sz w:val="22"/>
          <w:szCs w:val="22"/>
        </w:rPr>
        <w:t>A</w:t>
      </w:r>
      <w:r w:rsidR="00BB04DD" w:rsidRPr="00312D9A">
        <w:rPr>
          <w:rFonts w:ascii="Rubik" w:hAnsi="Rubik" w:cs="Rubik"/>
          <w:sz w:val="22"/>
          <w:szCs w:val="22"/>
        </w:rPr>
        <w:t xml:space="preserve">uthors should </w:t>
      </w:r>
      <w:r w:rsidRPr="00312D9A">
        <w:rPr>
          <w:rFonts w:ascii="Rubik" w:hAnsi="Rubik" w:cs="Rubik"/>
          <w:sz w:val="22"/>
          <w:szCs w:val="22"/>
        </w:rPr>
        <w:t xml:space="preserve">email </w:t>
      </w:r>
      <w:r w:rsidR="009270BB" w:rsidRPr="00312D9A">
        <w:rPr>
          <w:rFonts w:ascii="Rubik" w:hAnsi="Rubik" w:cs="Rubik"/>
          <w:sz w:val="22"/>
          <w:szCs w:val="22"/>
        </w:rPr>
        <w:t>manu</w:t>
      </w:r>
      <w:r w:rsidR="00180C99" w:rsidRPr="00312D9A">
        <w:rPr>
          <w:rFonts w:ascii="Rubik" w:hAnsi="Rubik" w:cs="Rubik"/>
          <w:sz w:val="22"/>
          <w:szCs w:val="22"/>
        </w:rPr>
        <w:t>scripts</w:t>
      </w:r>
      <w:r w:rsidR="00BD76E6" w:rsidRPr="00312D9A">
        <w:rPr>
          <w:rFonts w:ascii="Rubik" w:hAnsi="Rubik" w:cs="Rubik"/>
          <w:sz w:val="22"/>
          <w:szCs w:val="22"/>
        </w:rPr>
        <w:t xml:space="preserve"> </w:t>
      </w:r>
      <w:r w:rsidR="008C095F" w:rsidRPr="00312D9A">
        <w:rPr>
          <w:rFonts w:ascii="Rubik" w:hAnsi="Rubik" w:cs="Rubik"/>
          <w:sz w:val="22"/>
          <w:szCs w:val="22"/>
        </w:rPr>
        <w:t>as Microsoft Word documents</w:t>
      </w:r>
      <w:r w:rsidR="00BD76E6" w:rsidRPr="00312D9A">
        <w:rPr>
          <w:rFonts w:ascii="Rubik" w:hAnsi="Rubik" w:cs="Rubik"/>
          <w:sz w:val="22"/>
          <w:szCs w:val="22"/>
        </w:rPr>
        <w:t xml:space="preserve"> to </w:t>
      </w:r>
      <w:hyperlink r:id="rId8" w:history="1">
        <w:r w:rsidR="00E725BC" w:rsidRPr="00861638">
          <w:rPr>
            <w:rStyle w:val="Hyperlink"/>
            <w:rFonts w:ascii="Rubik" w:hAnsi="Rubik" w:cs="Rubik"/>
            <w:sz w:val="22"/>
            <w:szCs w:val="22"/>
          </w:rPr>
          <w:t>DCRjournal@uncw.edu</w:t>
        </w:r>
      </w:hyperlink>
      <w:r w:rsidR="00987DCF">
        <w:rPr>
          <w:rFonts w:ascii="Rubik" w:hAnsi="Rubik" w:cs="Rubik"/>
          <w:sz w:val="22"/>
          <w:szCs w:val="22"/>
        </w:rPr>
        <w:t xml:space="preserve"> </w:t>
      </w:r>
      <w:r w:rsidR="002E454F" w:rsidRPr="00312D9A">
        <w:rPr>
          <w:rFonts w:ascii="Rubik" w:hAnsi="Rubik" w:cs="Rubik"/>
          <w:sz w:val="22"/>
          <w:szCs w:val="22"/>
        </w:rPr>
        <w:t xml:space="preserve">with “Drug Court Review Submission” in the subject line. </w:t>
      </w:r>
      <w:r w:rsidR="00987DCF">
        <w:rPr>
          <w:rFonts w:ascii="Rubik" w:hAnsi="Rubik" w:cs="Rubik"/>
          <w:sz w:val="22"/>
          <w:szCs w:val="22"/>
        </w:rPr>
        <w:t>A call for papers will be generated annually with guidance on the thematic topic for each volume, due dates, etc. and authors should prepare submissions accordingly</w:t>
      </w:r>
      <w:r w:rsidR="00237091" w:rsidRPr="00312D9A">
        <w:rPr>
          <w:rFonts w:ascii="Rubik" w:hAnsi="Rubik" w:cs="Rubik"/>
          <w:sz w:val="22"/>
          <w:szCs w:val="22"/>
        </w:rPr>
        <w:t>.</w:t>
      </w:r>
    </w:p>
    <w:p w14:paraId="48CDCBB6" w14:textId="1A0CE5DA" w:rsidR="00237091" w:rsidRPr="00312D9A" w:rsidRDefault="00237091" w:rsidP="00237091">
      <w:pPr>
        <w:rPr>
          <w:rFonts w:ascii="Rubik" w:hAnsi="Rubik" w:cs="Rubik"/>
          <w:sz w:val="22"/>
          <w:szCs w:val="22"/>
        </w:rPr>
      </w:pPr>
    </w:p>
    <w:p w14:paraId="1725BB34" w14:textId="1A224918" w:rsidR="00237091" w:rsidRPr="00312D9A" w:rsidRDefault="00E725BC" w:rsidP="00237091">
      <w:pPr>
        <w:rPr>
          <w:rFonts w:ascii="Rubik" w:hAnsi="Rubik" w:cs="Rubik"/>
          <w:sz w:val="22"/>
          <w:szCs w:val="22"/>
        </w:rPr>
      </w:pPr>
      <w:r>
        <w:rPr>
          <w:rFonts w:ascii="Rubik" w:hAnsi="Rubik" w:cs="Rubik"/>
          <w:sz w:val="22"/>
          <w:szCs w:val="22"/>
        </w:rPr>
        <w:t>The NDCRC</w:t>
      </w:r>
      <w:r w:rsidR="001E24B7" w:rsidRPr="00312D9A">
        <w:rPr>
          <w:rFonts w:ascii="Rubik" w:hAnsi="Rubik" w:cs="Rubik"/>
          <w:sz w:val="22"/>
          <w:szCs w:val="22"/>
        </w:rPr>
        <w:t xml:space="preserve"> </w:t>
      </w:r>
      <w:r w:rsidR="00237091" w:rsidRPr="00312D9A">
        <w:rPr>
          <w:rFonts w:ascii="Rubik" w:hAnsi="Rubik" w:cs="Rubik"/>
          <w:sz w:val="22"/>
          <w:szCs w:val="22"/>
        </w:rPr>
        <w:t xml:space="preserve">regards the submission of a manuscript to </w:t>
      </w:r>
      <w:r w:rsidR="0087371F" w:rsidRPr="00312D9A">
        <w:rPr>
          <w:rFonts w:ascii="Rubik" w:hAnsi="Rubik" w:cs="Rubik"/>
          <w:sz w:val="22"/>
          <w:szCs w:val="22"/>
        </w:rPr>
        <w:t xml:space="preserve">the </w:t>
      </w:r>
      <w:r w:rsidR="0087371F" w:rsidRPr="00312D9A">
        <w:rPr>
          <w:rFonts w:ascii="Rubik" w:hAnsi="Rubik" w:cs="Rubik"/>
          <w:i/>
          <w:sz w:val="22"/>
          <w:szCs w:val="22"/>
        </w:rPr>
        <w:t>Drug Court Review</w:t>
      </w:r>
      <w:r w:rsidR="00237091" w:rsidRPr="00312D9A">
        <w:rPr>
          <w:rFonts w:ascii="Rubik" w:hAnsi="Rubik" w:cs="Rubik"/>
          <w:sz w:val="22"/>
          <w:szCs w:val="22"/>
        </w:rPr>
        <w:t xml:space="preserve"> as a commitment to publish herein; </w:t>
      </w:r>
      <w:r w:rsidR="009803C3" w:rsidRPr="00312D9A">
        <w:rPr>
          <w:rFonts w:ascii="Rubik" w:hAnsi="Rubik" w:cs="Rubik"/>
          <w:sz w:val="22"/>
          <w:szCs w:val="22"/>
        </w:rPr>
        <w:t xml:space="preserve">a </w:t>
      </w:r>
      <w:r w:rsidR="00237091" w:rsidRPr="00312D9A">
        <w:rPr>
          <w:rFonts w:ascii="Rubik" w:hAnsi="Rubik" w:cs="Rubik"/>
          <w:sz w:val="22"/>
          <w:szCs w:val="22"/>
        </w:rPr>
        <w:t>simultaneous submission to another journal is not permitted.</w:t>
      </w:r>
    </w:p>
    <w:p w14:paraId="2D44E72B" w14:textId="77777777" w:rsidR="00237091" w:rsidRPr="00312D9A" w:rsidRDefault="00237091" w:rsidP="00237091">
      <w:pPr>
        <w:rPr>
          <w:rFonts w:ascii="Rubik" w:hAnsi="Rubik" w:cs="Rubik"/>
          <w:sz w:val="22"/>
          <w:szCs w:val="22"/>
        </w:rPr>
      </w:pPr>
    </w:p>
    <w:p w14:paraId="2EA5D925" w14:textId="42932FE0" w:rsidR="00AD5C57" w:rsidRDefault="00237091" w:rsidP="00237091">
      <w:pPr>
        <w:rPr>
          <w:rFonts w:ascii="Rubik" w:hAnsi="Rubik" w:cs="Rubik"/>
          <w:sz w:val="22"/>
          <w:szCs w:val="22"/>
        </w:rPr>
      </w:pPr>
      <w:r w:rsidRPr="00312D9A">
        <w:rPr>
          <w:rFonts w:ascii="Rubik" w:hAnsi="Rubik" w:cs="Rubik"/>
          <w:sz w:val="22"/>
          <w:szCs w:val="22"/>
        </w:rPr>
        <w:t xml:space="preserve">Manuscripts </w:t>
      </w:r>
      <w:r w:rsidR="00635424">
        <w:rPr>
          <w:rFonts w:ascii="Rubik" w:hAnsi="Rubik" w:cs="Rubik"/>
          <w:sz w:val="22"/>
          <w:szCs w:val="22"/>
        </w:rPr>
        <w:t xml:space="preserve">must </w:t>
      </w:r>
      <w:proofErr w:type="gramStart"/>
      <w:r w:rsidR="00635424">
        <w:rPr>
          <w:rFonts w:ascii="Rubik" w:hAnsi="Rubik" w:cs="Rubik"/>
          <w:sz w:val="22"/>
          <w:szCs w:val="22"/>
        </w:rPr>
        <w:t>meeting</w:t>
      </w:r>
      <w:proofErr w:type="gramEnd"/>
      <w:r w:rsidRPr="00312D9A">
        <w:rPr>
          <w:rFonts w:ascii="Rubik" w:hAnsi="Rubik" w:cs="Rubik"/>
          <w:sz w:val="22"/>
          <w:szCs w:val="22"/>
        </w:rPr>
        <w:t xml:space="preserve"> the following minimum requirements</w:t>
      </w:r>
      <w:r w:rsidR="00635424">
        <w:rPr>
          <w:rFonts w:ascii="Rubik" w:hAnsi="Rubik" w:cs="Rubik"/>
          <w:sz w:val="22"/>
          <w:szCs w:val="22"/>
        </w:rPr>
        <w:t>, or they</w:t>
      </w:r>
      <w:r w:rsidRPr="00312D9A">
        <w:rPr>
          <w:rFonts w:ascii="Rubik" w:hAnsi="Rubik" w:cs="Rubik"/>
          <w:sz w:val="22"/>
          <w:szCs w:val="22"/>
        </w:rPr>
        <w:t xml:space="preserve"> may be returned to the author(s) without undergoing review:</w:t>
      </w:r>
    </w:p>
    <w:p w14:paraId="2FD556D7" w14:textId="77777777" w:rsidR="00AD5C57" w:rsidRPr="00312D9A" w:rsidRDefault="00AD5C57" w:rsidP="00237091">
      <w:pPr>
        <w:rPr>
          <w:rFonts w:ascii="Rubik" w:hAnsi="Rubik" w:cs="Rubik"/>
          <w:sz w:val="22"/>
          <w:szCs w:val="22"/>
        </w:rPr>
      </w:pPr>
    </w:p>
    <w:p w14:paraId="3384EB42" w14:textId="2A92479D" w:rsidR="00237091" w:rsidRPr="00312D9A" w:rsidRDefault="00F0121C" w:rsidP="00237091">
      <w:pPr>
        <w:pStyle w:val="ListParagraph"/>
        <w:numPr>
          <w:ilvl w:val="0"/>
          <w:numId w:val="17"/>
        </w:numPr>
        <w:rPr>
          <w:rFonts w:ascii="Rubik" w:hAnsi="Rubik" w:cs="Rubik"/>
          <w:sz w:val="22"/>
          <w:szCs w:val="22"/>
        </w:rPr>
      </w:pPr>
      <w:r w:rsidRPr="00312D9A">
        <w:rPr>
          <w:rFonts w:ascii="Rubik" w:hAnsi="Rubik" w:cs="Rubik"/>
          <w:sz w:val="22"/>
          <w:szCs w:val="22"/>
        </w:rPr>
        <w:t>All documents saved a</w:t>
      </w:r>
      <w:r w:rsidR="00237091" w:rsidRPr="00312D9A">
        <w:rPr>
          <w:rFonts w:ascii="Rubik" w:hAnsi="Rubik" w:cs="Rubik"/>
          <w:sz w:val="22"/>
          <w:szCs w:val="22"/>
        </w:rPr>
        <w:t>s Microsoft Word documents</w:t>
      </w:r>
      <w:r w:rsidR="0045596D">
        <w:rPr>
          <w:rFonts w:ascii="Rubik" w:hAnsi="Rubik" w:cs="Rubik"/>
          <w:sz w:val="22"/>
          <w:szCs w:val="22"/>
        </w:rPr>
        <w:t xml:space="preserve"> (e.g. doc or docx)</w:t>
      </w:r>
    </w:p>
    <w:p w14:paraId="5E0D3AD8" w14:textId="1EC3FFAF" w:rsidR="000D6DA8" w:rsidRPr="00312D9A" w:rsidRDefault="000D6DA8" w:rsidP="00237091">
      <w:pPr>
        <w:pStyle w:val="ListParagraph"/>
        <w:numPr>
          <w:ilvl w:val="0"/>
          <w:numId w:val="17"/>
        </w:numPr>
        <w:rPr>
          <w:rFonts w:ascii="Rubik" w:hAnsi="Rubik" w:cs="Rubik"/>
          <w:sz w:val="22"/>
          <w:szCs w:val="22"/>
        </w:rPr>
      </w:pPr>
      <w:r w:rsidRPr="00312D9A">
        <w:rPr>
          <w:rFonts w:ascii="Rubik" w:hAnsi="Rubik" w:cs="Rubik"/>
          <w:sz w:val="22"/>
          <w:szCs w:val="22"/>
        </w:rPr>
        <w:t xml:space="preserve">Chicago </w:t>
      </w:r>
      <w:r w:rsidR="00FD2C16" w:rsidRPr="00312D9A">
        <w:rPr>
          <w:rFonts w:ascii="Rubik" w:hAnsi="Rubik" w:cs="Rubik"/>
          <w:sz w:val="22"/>
          <w:szCs w:val="22"/>
        </w:rPr>
        <w:t xml:space="preserve">Manual of Style </w:t>
      </w:r>
      <w:r w:rsidRPr="00312D9A">
        <w:rPr>
          <w:rFonts w:ascii="Rubik" w:hAnsi="Rubik" w:cs="Rubik"/>
          <w:sz w:val="22"/>
          <w:szCs w:val="22"/>
        </w:rPr>
        <w:t>format</w:t>
      </w:r>
    </w:p>
    <w:p w14:paraId="0EB4CFF3" w14:textId="77777777" w:rsidR="00237091"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Double-spaced</w:t>
      </w:r>
    </w:p>
    <w:p w14:paraId="63F96DA5" w14:textId="77777777" w:rsidR="00237091"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12-point font</w:t>
      </w:r>
    </w:p>
    <w:p w14:paraId="70DFDF9B" w14:textId="77777777" w:rsidR="00237091"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1-inch margins at the top, bottom, left and right</w:t>
      </w:r>
    </w:p>
    <w:p w14:paraId="2400C650" w14:textId="77777777" w:rsidR="00237091" w:rsidRPr="00312D9A" w:rsidRDefault="00237091" w:rsidP="00237091">
      <w:pPr>
        <w:pStyle w:val="ListParagraph"/>
        <w:numPr>
          <w:ilvl w:val="0"/>
          <w:numId w:val="17"/>
        </w:numPr>
        <w:rPr>
          <w:rFonts w:ascii="Rubik" w:hAnsi="Rubik" w:cs="Rubik"/>
          <w:sz w:val="22"/>
          <w:szCs w:val="22"/>
        </w:rPr>
      </w:pPr>
      <w:r w:rsidRPr="00312D9A">
        <w:rPr>
          <w:rFonts w:ascii="Rubik" w:hAnsi="Rubik" w:cs="Rubik"/>
          <w:sz w:val="22"/>
          <w:szCs w:val="22"/>
        </w:rPr>
        <w:t>Title Page Document</w:t>
      </w:r>
    </w:p>
    <w:p w14:paraId="30D678FD" w14:textId="77777777" w:rsidR="00237091"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Manuscript title</w:t>
      </w:r>
    </w:p>
    <w:p w14:paraId="6BB2B92A" w14:textId="13DAFFCC" w:rsidR="00237091"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 xml:space="preserve">List of authors </w:t>
      </w:r>
      <w:r w:rsidR="00D47DBC" w:rsidRPr="00312D9A">
        <w:rPr>
          <w:rFonts w:ascii="Rubik" w:hAnsi="Rubik" w:cs="Rubik"/>
          <w:sz w:val="22"/>
          <w:szCs w:val="22"/>
        </w:rPr>
        <w:t>and their</w:t>
      </w:r>
      <w:r w:rsidRPr="00312D9A">
        <w:rPr>
          <w:rFonts w:ascii="Rubik" w:hAnsi="Rubik" w:cs="Rubik"/>
          <w:sz w:val="22"/>
          <w:szCs w:val="22"/>
        </w:rPr>
        <w:t xml:space="preserve"> affiliations</w:t>
      </w:r>
    </w:p>
    <w:p w14:paraId="656799AB" w14:textId="2822F13E" w:rsidR="00237091" w:rsidRPr="00312D9A" w:rsidRDefault="00D47DBC" w:rsidP="00237091">
      <w:pPr>
        <w:pStyle w:val="ListParagraph"/>
        <w:numPr>
          <w:ilvl w:val="1"/>
          <w:numId w:val="17"/>
        </w:numPr>
        <w:rPr>
          <w:rFonts w:ascii="Rubik" w:hAnsi="Rubik" w:cs="Rubik"/>
          <w:sz w:val="22"/>
          <w:szCs w:val="22"/>
        </w:rPr>
      </w:pPr>
      <w:r w:rsidRPr="00312D9A">
        <w:rPr>
          <w:rFonts w:ascii="Rubik" w:hAnsi="Rubik" w:cs="Rubik"/>
          <w:sz w:val="22"/>
          <w:szCs w:val="22"/>
        </w:rPr>
        <w:t>C</w:t>
      </w:r>
      <w:r w:rsidR="00237091" w:rsidRPr="00312D9A">
        <w:rPr>
          <w:rFonts w:ascii="Rubik" w:hAnsi="Rubik" w:cs="Rubik"/>
          <w:sz w:val="22"/>
          <w:szCs w:val="22"/>
        </w:rPr>
        <w:t>orresponding author</w:t>
      </w:r>
      <w:r w:rsidRPr="00312D9A">
        <w:rPr>
          <w:rFonts w:ascii="Rubik" w:hAnsi="Rubik" w:cs="Rubik"/>
          <w:sz w:val="22"/>
          <w:szCs w:val="22"/>
        </w:rPr>
        <w:t>’s</w:t>
      </w:r>
      <w:r w:rsidR="00237091" w:rsidRPr="00312D9A">
        <w:rPr>
          <w:rFonts w:ascii="Rubik" w:hAnsi="Rubik" w:cs="Rubik"/>
          <w:sz w:val="22"/>
          <w:szCs w:val="22"/>
        </w:rPr>
        <w:t xml:space="preserve"> contact information (email, phone number, mailing address)</w:t>
      </w:r>
    </w:p>
    <w:p w14:paraId="05759CF8" w14:textId="31EF3E8B" w:rsidR="00237091"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Brief one-paragraph biographical sketch for each author</w:t>
      </w:r>
    </w:p>
    <w:p w14:paraId="2DF86BAA" w14:textId="61726312" w:rsidR="00DD4B67" w:rsidRPr="00312D9A" w:rsidRDefault="00237091" w:rsidP="00237091">
      <w:pPr>
        <w:pStyle w:val="ListParagraph"/>
        <w:numPr>
          <w:ilvl w:val="0"/>
          <w:numId w:val="17"/>
        </w:numPr>
        <w:rPr>
          <w:rFonts w:ascii="Rubik" w:hAnsi="Rubik" w:cs="Rubik"/>
          <w:sz w:val="22"/>
          <w:szCs w:val="22"/>
        </w:rPr>
      </w:pPr>
      <w:r w:rsidRPr="00312D9A">
        <w:rPr>
          <w:rFonts w:ascii="Rubik" w:hAnsi="Rubik" w:cs="Rubik"/>
          <w:sz w:val="22"/>
          <w:szCs w:val="22"/>
        </w:rPr>
        <w:t>Manuscript Document</w:t>
      </w:r>
      <w:r w:rsidR="009803C3" w:rsidRPr="00312D9A">
        <w:rPr>
          <w:rFonts w:ascii="Rubik" w:hAnsi="Rubik" w:cs="Rubik"/>
          <w:sz w:val="22"/>
          <w:szCs w:val="22"/>
        </w:rPr>
        <w:t xml:space="preserve"> (blinded)</w:t>
      </w:r>
    </w:p>
    <w:p w14:paraId="7B4459CD" w14:textId="77777777" w:rsidR="00DD4B67"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Maximum of 35 pages</w:t>
      </w:r>
    </w:p>
    <w:p w14:paraId="2A62B3F1" w14:textId="77777777" w:rsidR="00DD4B67"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All author names and identifying information are to be removed</w:t>
      </w:r>
    </w:p>
    <w:p w14:paraId="0083B228" w14:textId="77777777" w:rsidR="00DD4B67"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Title at top of first page</w:t>
      </w:r>
    </w:p>
    <w:p w14:paraId="722C2764" w14:textId="3E83D38F" w:rsidR="00DD4B67"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lastRenderedPageBreak/>
        <w:t xml:space="preserve">An abstract </w:t>
      </w:r>
      <w:r w:rsidR="00D47DBC" w:rsidRPr="00312D9A">
        <w:rPr>
          <w:rFonts w:ascii="Rubik" w:hAnsi="Rubik" w:cs="Rubik"/>
          <w:sz w:val="22"/>
          <w:szCs w:val="22"/>
        </w:rPr>
        <w:t xml:space="preserve">(maximum of </w:t>
      </w:r>
      <w:r w:rsidRPr="00312D9A">
        <w:rPr>
          <w:rFonts w:ascii="Rubik" w:hAnsi="Rubik" w:cs="Rubik"/>
          <w:sz w:val="22"/>
          <w:szCs w:val="22"/>
        </w:rPr>
        <w:t>200 words</w:t>
      </w:r>
      <w:r w:rsidR="00D47DBC" w:rsidRPr="00312D9A">
        <w:rPr>
          <w:rFonts w:ascii="Rubik" w:hAnsi="Rubik" w:cs="Rubik"/>
          <w:sz w:val="22"/>
          <w:szCs w:val="22"/>
        </w:rPr>
        <w:t>)</w:t>
      </w:r>
    </w:p>
    <w:p w14:paraId="757262E9" w14:textId="77777777" w:rsidR="001E24B7"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List of keywords</w:t>
      </w:r>
    </w:p>
    <w:p w14:paraId="3F51765C" w14:textId="11602EC7" w:rsidR="001E24B7"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 xml:space="preserve">Any notes should be numbered and presented as </w:t>
      </w:r>
      <w:r w:rsidR="00D47DBC" w:rsidRPr="00312D9A">
        <w:rPr>
          <w:rFonts w:ascii="Rubik" w:hAnsi="Rubik" w:cs="Rubik"/>
          <w:sz w:val="22"/>
          <w:szCs w:val="22"/>
        </w:rPr>
        <w:t>footnotes</w:t>
      </w:r>
    </w:p>
    <w:p w14:paraId="5B7A4F68" w14:textId="5BE11B83" w:rsidR="001E24B7"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 xml:space="preserve">Tables and Figures in a separate document numbered consecutively by type throughout the article. Insert a location note </w:t>
      </w:r>
      <w:r w:rsidR="00D47DBC" w:rsidRPr="00312D9A">
        <w:rPr>
          <w:rFonts w:ascii="Rubik" w:hAnsi="Rubik" w:cs="Rubik"/>
          <w:sz w:val="22"/>
          <w:szCs w:val="22"/>
        </w:rPr>
        <w:t>in</w:t>
      </w:r>
      <w:r w:rsidRPr="00312D9A">
        <w:rPr>
          <w:rFonts w:ascii="Rubik" w:hAnsi="Rubik" w:cs="Rubik"/>
          <w:sz w:val="22"/>
          <w:szCs w:val="22"/>
        </w:rPr>
        <w:t xml:space="preserve"> the appropriate place </w:t>
      </w:r>
      <w:r w:rsidR="00D47DBC" w:rsidRPr="00312D9A">
        <w:rPr>
          <w:rFonts w:ascii="Rubik" w:hAnsi="Rubik" w:cs="Rubik"/>
          <w:sz w:val="22"/>
          <w:szCs w:val="22"/>
        </w:rPr>
        <w:t>of the manuscript te</w:t>
      </w:r>
      <w:r w:rsidRPr="00312D9A">
        <w:rPr>
          <w:rFonts w:ascii="Rubik" w:hAnsi="Rubik" w:cs="Rubik"/>
          <w:sz w:val="22"/>
          <w:szCs w:val="22"/>
        </w:rPr>
        <w:t>xt</w:t>
      </w:r>
      <w:r w:rsidR="00D47DBC" w:rsidRPr="00312D9A">
        <w:rPr>
          <w:rFonts w:ascii="Rubik" w:hAnsi="Rubik" w:cs="Rubik"/>
          <w:sz w:val="22"/>
          <w:szCs w:val="22"/>
        </w:rPr>
        <w:t>.</w:t>
      </w:r>
    </w:p>
    <w:p w14:paraId="5A054E7C" w14:textId="77777777" w:rsidR="001E24B7" w:rsidRPr="00312D9A" w:rsidRDefault="00237091" w:rsidP="00237091">
      <w:pPr>
        <w:pStyle w:val="ListParagraph"/>
        <w:numPr>
          <w:ilvl w:val="2"/>
          <w:numId w:val="17"/>
        </w:numPr>
        <w:rPr>
          <w:rFonts w:ascii="Rubik" w:hAnsi="Rubik" w:cs="Rubik"/>
          <w:sz w:val="22"/>
          <w:szCs w:val="22"/>
        </w:rPr>
      </w:pPr>
      <w:r w:rsidRPr="00312D9A">
        <w:rPr>
          <w:rFonts w:ascii="Rubik" w:hAnsi="Rubik" w:cs="Rubik"/>
          <w:sz w:val="22"/>
          <w:szCs w:val="22"/>
        </w:rPr>
        <w:t>For example: [Table 1 about here]</w:t>
      </w:r>
    </w:p>
    <w:p w14:paraId="7C889D2C" w14:textId="5F7CA115" w:rsidR="001E24B7"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 xml:space="preserve">Citations and References: </w:t>
      </w:r>
      <w:r w:rsidR="000D6DA8" w:rsidRPr="00312D9A">
        <w:rPr>
          <w:rFonts w:ascii="Rubik" w:hAnsi="Rubik" w:cs="Rubik"/>
          <w:sz w:val="22"/>
          <w:szCs w:val="22"/>
        </w:rPr>
        <w:t>Chicago Manual of Style format</w:t>
      </w:r>
      <w:r w:rsidRPr="00312D9A">
        <w:rPr>
          <w:rFonts w:ascii="Rubik" w:hAnsi="Rubik" w:cs="Rubik"/>
          <w:sz w:val="22"/>
          <w:szCs w:val="22"/>
        </w:rPr>
        <w:t xml:space="preserve"> (</w:t>
      </w:r>
      <w:r w:rsidR="000D6DA8" w:rsidRPr="00312D9A">
        <w:rPr>
          <w:rFonts w:ascii="Rubik" w:hAnsi="Rubik" w:cs="Rubik"/>
          <w:sz w:val="22"/>
          <w:szCs w:val="22"/>
        </w:rPr>
        <w:t>17</w:t>
      </w:r>
      <w:r w:rsidRPr="00312D9A">
        <w:rPr>
          <w:rFonts w:ascii="Rubik" w:hAnsi="Rubik" w:cs="Rubik"/>
          <w:sz w:val="22"/>
          <w:szCs w:val="22"/>
        </w:rPr>
        <w:t>th edition)</w:t>
      </w:r>
    </w:p>
    <w:p w14:paraId="26D8E47D" w14:textId="77777777" w:rsidR="001E24B7" w:rsidRPr="00312D9A" w:rsidRDefault="00237091" w:rsidP="00237091">
      <w:pPr>
        <w:pStyle w:val="ListParagraph"/>
        <w:numPr>
          <w:ilvl w:val="0"/>
          <w:numId w:val="17"/>
        </w:numPr>
        <w:rPr>
          <w:rFonts w:ascii="Rubik" w:hAnsi="Rubik" w:cs="Rubik"/>
          <w:sz w:val="22"/>
          <w:szCs w:val="22"/>
        </w:rPr>
      </w:pPr>
      <w:r w:rsidRPr="00312D9A">
        <w:rPr>
          <w:rFonts w:ascii="Rubik" w:hAnsi="Rubik" w:cs="Rubik"/>
          <w:sz w:val="22"/>
          <w:szCs w:val="22"/>
        </w:rPr>
        <w:t>Tables and Figures Document</w:t>
      </w:r>
    </w:p>
    <w:p w14:paraId="6322C7F1" w14:textId="411E580A" w:rsidR="001E24B7" w:rsidRPr="00312D9A" w:rsidRDefault="00237091" w:rsidP="00237091">
      <w:pPr>
        <w:pStyle w:val="ListParagraph"/>
        <w:numPr>
          <w:ilvl w:val="1"/>
          <w:numId w:val="17"/>
        </w:numPr>
        <w:rPr>
          <w:rFonts w:ascii="Rubik" w:hAnsi="Rubik" w:cs="Rubik"/>
          <w:sz w:val="22"/>
          <w:szCs w:val="22"/>
        </w:rPr>
      </w:pPr>
      <w:r w:rsidRPr="00312D9A">
        <w:rPr>
          <w:rFonts w:ascii="Rubik" w:hAnsi="Rubik" w:cs="Rubik"/>
          <w:sz w:val="22"/>
          <w:szCs w:val="22"/>
        </w:rPr>
        <w:t>Numbered consecutively by type (Table 1, Table 2, Figure 1, Table 3, Figure 2)</w:t>
      </w:r>
    </w:p>
    <w:p w14:paraId="42D7842B" w14:textId="1F01D507" w:rsidR="001E24B7" w:rsidRPr="00312D9A" w:rsidRDefault="00237091" w:rsidP="001E24B7">
      <w:pPr>
        <w:pStyle w:val="ListParagraph"/>
        <w:numPr>
          <w:ilvl w:val="1"/>
          <w:numId w:val="17"/>
        </w:numPr>
        <w:rPr>
          <w:rFonts w:ascii="Rubik" w:hAnsi="Rubik" w:cs="Rubik"/>
          <w:sz w:val="22"/>
          <w:szCs w:val="22"/>
        </w:rPr>
      </w:pPr>
      <w:r w:rsidRPr="00312D9A">
        <w:rPr>
          <w:rFonts w:ascii="Rubik" w:hAnsi="Rubik" w:cs="Rubik"/>
          <w:sz w:val="22"/>
          <w:szCs w:val="22"/>
        </w:rPr>
        <w:t>Because manuscripts will undergo revisions, each figure and table</w:t>
      </w:r>
      <w:r w:rsidR="00D47DBC" w:rsidRPr="00312D9A">
        <w:rPr>
          <w:rFonts w:ascii="Rubik" w:hAnsi="Rubik" w:cs="Rubik"/>
          <w:sz w:val="22"/>
          <w:szCs w:val="22"/>
        </w:rPr>
        <w:t xml:space="preserve"> (</w:t>
      </w:r>
      <w:r w:rsidRPr="00312D9A">
        <w:rPr>
          <w:rFonts w:ascii="Rubik" w:hAnsi="Rubik" w:cs="Rubik"/>
          <w:sz w:val="22"/>
          <w:szCs w:val="22"/>
        </w:rPr>
        <w:t>even small ones</w:t>
      </w:r>
      <w:r w:rsidR="00D47DBC" w:rsidRPr="00312D9A">
        <w:rPr>
          <w:rFonts w:ascii="Rubik" w:hAnsi="Rubik" w:cs="Rubik"/>
          <w:sz w:val="22"/>
          <w:szCs w:val="22"/>
        </w:rPr>
        <w:t>)</w:t>
      </w:r>
      <w:r w:rsidRPr="00312D9A">
        <w:rPr>
          <w:rFonts w:ascii="Rubik" w:hAnsi="Rubik" w:cs="Rubik"/>
          <w:sz w:val="22"/>
          <w:szCs w:val="22"/>
        </w:rPr>
        <w:t xml:space="preserve"> </w:t>
      </w:r>
      <w:r w:rsidR="009803C3" w:rsidRPr="00312D9A">
        <w:rPr>
          <w:rFonts w:ascii="Rubik" w:hAnsi="Rubik" w:cs="Rubik"/>
          <w:sz w:val="22"/>
          <w:szCs w:val="22"/>
        </w:rPr>
        <w:t xml:space="preserve">should be </w:t>
      </w:r>
      <w:r w:rsidRPr="00312D9A">
        <w:rPr>
          <w:rFonts w:ascii="Rubik" w:hAnsi="Rubik" w:cs="Rubik"/>
          <w:sz w:val="22"/>
          <w:szCs w:val="22"/>
        </w:rPr>
        <w:t>on a separate page</w:t>
      </w:r>
      <w:r w:rsidR="00987DCF">
        <w:rPr>
          <w:rFonts w:ascii="Rubik" w:hAnsi="Rubik" w:cs="Rubik"/>
          <w:sz w:val="22"/>
          <w:szCs w:val="22"/>
        </w:rPr>
        <w:t>.</w:t>
      </w:r>
    </w:p>
    <w:p w14:paraId="1598F040" w14:textId="77777777" w:rsidR="001E24B7" w:rsidRPr="00312D9A" w:rsidRDefault="00237091" w:rsidP="001E24B7">
      <w:pPr>
        <w:pStyle w:val="ListParagraph"/>
        <w:numPr>
          <w:ilvl w:val="0"/>
          <w:numId w:val="17"/>
        </w:numPr>
        <w:rPr>
          <w:rFonts w:ascii="Rubik" w:hAnsi="Rubik" w:cs="Rubik"/>
          <w:sz w:val="22"/>
          <w:szCs w:val="22"/>
        </w:rPr>
      </w:pPr>
      <w:r w:rsidRPr="00312D9A">
        <w:rPr>
          <w:rFonts w:ascii="Rubik" w:hAnsi="Rubik" w:cs="Rubik"/>
          <w:sz w:val="22"/>
          <w:szCs w:val="22"/>
        </w:rPr>
        <w:t>Attestation Document</w:t>
      </w:r>
    </w:p>
    <w:p w14:paraId="65CC26AE" w14:textId="24563819" w:rsidR="001E24B7" w:rsidRPr="00312D9A" w:rsidRDefault="00237091" w:rsidP="001E24B7">
      <w:pPr>
        <w:pStyle w:val="ListParagraph"/>
        <w:numPr>
          <w:ilvl w:val="1"/>
          <w:numId w:val="17"/>
        </w:numPr>
        <w:rPr>
          <w:rFonts w:ascii="Rubik" w:hAnsi="Rubik" w:cs="Rubik"/>
          <w:sz w:val="22"/>
          <w:szCs w:val="22"/>
        </w:rPr>
      </w:pPr>
      <w:r w:rsidRPr="00312D9A">
        <w:rPr>
          <w:rFonts w:ascii="Rubik" w:hAnsi="Rubik" w:cs="Rubik"/>
          <w:sz w:val="22"/>
          <w:szCs w:val="22"/>
        </w:rPr>
        <w:t xml:space="preserve">An explicit statement that the submission reflects the original work of the author(s) and is submitted solely to </w:t>
      </w:r>
      <w:r w:rsidR="001E24B7" w:rsidRPr="00312D9A">
        <w:rPr>
          <w:rFonts w:ascii="Rubik" w:hAnsi="Rubik" w:cs="Rubik"/>
          <w:sz w:val="22"/>
          <w:szCs w:val="22"/>
        </w:rPr>
        <w:t xml:space="preserve">the </w:t>
      </w:r>
      <w:r w:rsidRPr="00312D9A">
        <w:rPr>
          <w:rFonts w:ascii="Rubik" w:hAnsi="Rubik" w:cs="Rubik"/>
          <w:i/>
          <w:sz w:val="22"/>
          <w:szCs w:val="22"/>
        </w:rPr>
        <w:t>Drug Court Review</w:t>
      </w:r>
      <w:r w:rsidR="00987DCF">
        <w:rPr>
          <w:rFonts w:ascii="Rubik" w:hAnsi="Rubik" w:cs="Rubik"/>
          <w:i/>
          <w:sz w:val="22"/>
          <w:szCs w:val="22"/>
        </w:rPr>
        <w:t>.</w:t>
      </w:r>
    </w:p>
    <w:p w14:paraId="55F8D11D" w14:textId="1AB2E6A9" w:rsidR="00237091" w:rsidRPr="00312D9A" w:rsidRDefault="00237091" w:rsidP="001E24B7">
      <w:pPr>
        <w:pStyle w:val="ListParagraph"/>
        <w:numPr>
          <w:ilvl w:val="1"/>
          <w:numId w:val="17"/>
        </w:numPr>
        <w:rPr>
          <w:rFonts w:ascii="Rubik" w:hAnsi="Rubik" w:cs="Rubik"/>
          <w:sz w:val="22"/>
          <w:szCs w:val="22"/>
        </w:rPr>
      </w:pPr>
      <w:r w:rsidRPr="00312D9A">
        <w:rPr>
          <w:rFonts w:ascii="Rubik" w:hAnsi="Rubik" w:cs="Rubik"/>
          <w:sz w:val="22"/>
          <w:szCs w:val="22"/>
        </w:rPr>
        <w:t>An explicit statement of IRB approval must accompany any submission involving research with human subjects</w:t>
      </w:r>
      <w:r w:rsidR="00987DCF">
        <w:rPr>
          <w:rFonts w:ascii="Rubik" w:hAnsi="Rubik" w:cs="Rubik"/>
          <w:sz w:val="22"/>
          <w:szCs w:val="22"/>
        </w:rPr>
        <w:t>.</w:t>
      </w:r>
    </w:p>
    <w:p w14:paraId="218EBF1B" w14:textId="7C463C95" w:rsidR="00237091" w:rsidRPr="00312D9A" w:rsidRDefault="00237091" w:rsidP="001E24B7">
      <w:pPr>
        <w:rPr>
          <w:rFonts w:ascii="Rubik" w:hAnsi="Rubik" w:cs="Rubik"/>
          <w:sz w:val="22"/>
          <w:szCs w:val="22"/>
        </w:rPr>
      </w:pPr>
    </w:p>
    <w:p w14:paraId="513F9157" w14:textId="22D7B980" w:rsidR="00D61DEA" w:rsidRPr="00312D9A" w:rsidRDefault="001E24B7" w:rsidP="00312D9A">
      <w:pPr>
        <w:spacing w:line="360" w:lineRule="auto"/>
        <w:rPr>
          <w:rFonts w:ascii="Rubik Medium" w:hAnsi="Rubik Medium" w:cs="Rubik Medium"/>
          <w:bCs/>
        </w:rPr>
      </w:pPr>
      <w:r w:rsidRPr="00312D9A">
        <w:rPr>
          <w:rFonts w:ascii="Rubik Medium" w:hAnsi="Rubik Medium" w:cs="Rubik Medium"/>
          <w:bCs/>
          <w:u w:val="single"/>
        </w:rPr>
        <w:t>Peer-Review Process</w:t>
      </w:r>
    </w:p>
    <w:p w14:paraId="59CCB6A9" w14:textId="705D7DCA" w:rsidR="00731044" w:rsidRPr="00312D9A" w:rsidRDefault="00F0121C" w:rsidP="00541602">
      <w:pPr>
        <w:rPr>
          <w:rFonts w:ascii="Rubik" w:hAnsi="Rubik" w:cs="Rubik"/>
          <w:sz w:val="22"/>
          <w:szCs w:val="22"/>
        </w:rPr>
      </w:pPr>
      <w:r w:rsidRPr="00312D9A">
        <w:rPr>
          <w:rFonts w:ascii="Rubik" w:hAnsi="Rubik" w:cs="Rubik"/>
          <w:sz w:val="22"/>
          <w:szCs w:val="22"/>
        </w:rPr>
        <w:t>E</w:t>
      </w:r>
      <w:r w:rsidR="00541602" w:rsidRPr="00312D9A">
        <w:rPr>
          <w:rFonts w:ascii="Rubik" w:hAnsi="Rubik" w:cs="Rubik"/>
          <w:sz w:val="22"/>
          <w:szCs w:val="22"/>
        </w:rPr>
        <w:t>ach manuscript will undergo a double-blind peer</w:t>
      </w:r>
      <w:r w:rsidR="004A2C54" w:rsidRPr="00312D9A">
        <w:rPr>
          <w:rFonts w:ascii="Rubik" w:hAnsi="Rubik" w:cs="Rubik"/>
          <w:sz w:val="22"/>
          <w:szCs w:val="22"/>
        </w:rPr>
        <w:t>-</w:t>
      </w:r>
      <w:r w:rsidR="00541602" w:rsidRPr="00312D9A">
        <w:rPr>
          <w:rFonts w:ascii="Rubik" w:hAnsi="Rubik" w:cs="Rubik"/>
          <w:sz w:val="22"/>
          <w:szCs w:val="22"/>
        </w:rPr>
        <w:t xml:space="preserve">review process. The </w:t>
      </w:r>
      <w:r w:rsidR="00D12AA6" w:rsidRPr="00312D9A">
        <w:rPr>
          <w:rFonts w:ascii="Rubik" w:hAnsi="Rubik" w:cs="Rubik"/>
          <w:sz w:val="22"/>
          <w:szCs w:val="22"/>
        </w:rPr>
        <w:t>e</w:t>
      </w:r>
      <w:r w:rsidR="00541602" w:rsidRPr="00312D9A">
        <w:rPr>
          <w:rFonts w:ascii="Rubik" w:hAnsi="Rubik" w:cs="Rubik"/>
          <w:sz w:val="22"/>
          <w:szCs w:val="22"/>
        </w:rPr>
        <w:t>ditor</w:t>
      </w:r>
      <w:r w:rsidR="00987DCF">
        <w:rPr>
          <w:rFonts w:ascii="Rubik" w:hAnsi="Rubik" w:cs="Rubik"/>
          <w:sz w:val="22"/>
          <w:szCs w:val="22"/>
        </w:rPr>
        <w:t>-</w:t>
      </w:r>
      <w:r w:rsidR="00541602" w:rsidRPr="00312D9A">
        <w:rPr>
          <w:rFonts w:ascii="Rubik" w:hAnsi="Rubik" w:cs="Rubik"/>
          <w:sz w:val="22"/>
          <w:szCs w:val="22"/>
        </w:rPr>
        <w:t>in</w:t>
      </w:r>
      <w:r w:rsidR="00987DCF">
        <w:rPr>
          <w:rFonts w:ascii="Rubik" w:hAnsi="Rubik" w:cs="Rubik"/>
          <w:sz w:val="22"/>
          <w:szCs w:val="22"/>
        </w:rPr>
        <w:t>-</w:t>
      </w:r>
      <w:r w:rsidR="00D12AA6" w:rsidRPr="00312D9A">
        <w:rPr>
          <w:rFonts w:ascii="Rubik" w:hAnsi="Rubik" w:cs="Rubik"/>
          <w:sz w:val="22"/>
          <w:szCs w:val="22"/>
        </w:rPr>
        <w:t>c</w:t>
      </w:r>
      <w:r w:rsidR="00541602" w:rsidRPr="00312D9A">
        <w:rPr>
          <w:rFonts w:ascii="Rubik" w:hAnsi="Rubik" w:cs="Rubik"/>
          <w:sz w:val="22"/>
          <w:szCs w:val="22"/>
        </w:rPr>
        <w:t>hief will assign manuscripts to two to three subject matter experts</w:t>
      </w:r>
      <w:r w:rsidR="003F2093" w:rsidRPr="00312D9A">
        <w:rPr>
          <w:rFonts w:ascii="Rubik" w:hAnsi="Rubik" w:cs="Rubik"/>
          <w:sz w:val="22"/>
          <w:szCs w:val="22"/>
        </w:rPr>
        <w:t xml:space="preserve"> highly familiar with the topic and/or methodology</w:t>
      </w:r>
      <w:r w:rsidR="00541602" w:rsidRPr="00312D9A">
        <w:rPr>
          <w:rFonts w:ascii="Rubik" w:hAnsi="Rubik" w:cs="Rubik"/>
          <w:sz w:val="22"/>
          <w:szCs w:val="22"/>
        </w:rPr>
        <w:t xml:space="preserve">. </w:t>
      </w:r>
      <w:r w:rsidR="00D47DBC" w:rsidRPr="00312D9A">
        <w:rPr>
          <w:rFonts w:ascii="Rubik" w:hAnsi="Rubik" w:cs="Rubik"/>
          <w:sz w:val="22"/>
          <w:szCs w:val="22"/>
        </w:rPr>
        <w:t>E</w:t>
      </w:r>
      <w:r w:rsidR="00541602" w:rsidRPr="00312D9A">
        <w:rPr>
          <w:rFonts w:ascii="Rubik" w:hAnsi="Rubik" w:cs="Rubik"/>
          <w:sz w:val="22"/>
          <w:szCs w:val="22"/>
        </w:rPr>
        <w:t xml:space="preserve">xperts </w:t>
      </w:r>
      <w:r w:rsidR="003F2093" w:rsidRPr="00312D9A">
        <w:rPr>
          <w:rFonts w:ascii="Rubik" w:hAnsi="Rubik" w:cs="Rubik"/>
          <w:sz w:val="22"/>
          <w:szCs w:val="22"/>
        </w:rPr>
        <w:t xml:space="preserve">may include </w:t>
      </w:r>
      <w:r w:rsidR="00541602" w:rsidRPr="00312D9A">
        <w:rPr>
          <w:rFonts w:ascii="Rubik" w:hAnsi="Rubik" w:cs="Rubik"/>
          <w:sz w:val="22"/>
          <w:szCs w:val="22"/>
        </w:rPr>
        <w:t xml:space="preserve">practitioners, scientists, policymakers, </w:t>
      </w:r>
      <w:r w:rsidR="00987DCF">
        <w:rPr>
          <w:rFonts w:ascii="Rubik" w:hAnsi="Rubik" w:cs="Rubik"/>
          <w:sz w:val="22"/>
          <w:szCs w:val="22"/>
        </w:rPr>
        <w:t>and/</w:t>
      </w:r>
      <w:r w:rsidR="00541602" w:rsidRPr="00312D9A">
        <w:rPr>
          <w:rFonts w:ascii="Rubik" w:hAnsi="Rubik" w:cs="Rubik"/>
          <w:sz w:val="22"/>
          <w:szCs w:val="22"/>
        </w:rPr>
        <w:t>or administrators.</w:t>
      </w:r>
    </w:p>
    <w:p w14:paraId="14C5DFEA" w14:textId="77777777" w:rsidR="00731044" w:rsidRPr="00312D9A" w:rsidRDefault="00731044" w:rsidP="00541602">
      <w:pPr>
        <w:rPr>
          <w:rFonts w:ascii="Rubik" w:hAnsi="Rubik" w:cs="Rubik"/>
          <w:sz w:val="22"/>
          <w:szCs w:val="22"/>
        </w:rPr>
      </w:pPr>
    </w:p>
    <w:p w14:paraId="7722B78D" w14:textId="3A55CD52" w:rsidR="00731044" w:rsidRPr="00312D9A" w:rsidRDefault="00C92232" w:rsidP="00731044">
      <w:pPr>
        <w:rPr>
          <w:rFonts w:ascii="Rubik" w:hAnsi="Rubik" w:cs="Rubik"/>
          <w:sz w:val="22"/>
          <w:szCs w:val="22"/>
        </w:rPr>
      </w:pPr>
      <w:r w:rsidRPr="00312D9A">
        <w:rPr>
          <w:rFonts w:ascii="Rubik" w:hAnsi="Rubik" w:cs="Rubik"/>
          <w:sz w:val="22"/>
          <w:szCs w:val="22"/>
        </w:rPr>
        <w:t>Using the peer review form supplied by the editor</w:t>
      </w:r>
      <w:r w:rsidR="00E725BC">
        <w:rPr>
          <w:rFonts w:ascii="Rubik" w:hAnsi="Rubik" w:cs="Rubik"/>
          <w:sz w:val="22"/>
          <w:szCs w:val="22"/>
        </w:rPr>
        <w:t>-</w:t>
      </w:r>
      <w:r w:rsidRPr="00312D9A">
        <w:rPr>
          <w:rFonts w:ascii="Rubik" w:hAnsi="Rubik" w:cs="Rubik"/>
          <w:sz w:val="22"/>
          <w:szCs w:val="22"/>
        </w:rPr>
        <w:t>in</w:t>
      </w:r>
      <w:r w:rsidR="00E725BC">
        <w:rPr>
          <w:rFonts w:ascii="Rubik" w:hAnsi="Rubik" w:cs="Rubik"/>
          <w:sz w:val="22"/>
          <w:szCs w:val="22"/>
        </w:rPr>
        <w:t>-</w:t>
      </w:r>
      <w:r w:rsidRPr="00312D9A">
        <w:rPr>
          <w:rFonts w:ascii="Rubik" w:hAnsi="Rubik" w:cs="Rubik"/>
          <w:sz w:val="22"/>
          <w:szCs w:val="22"/>
        </w:rPr>
        <w:t>chief, p</w:t>
      </w:r>
      <w:r w:rsidR="00B16EA1" w:rsidRPr="00312D9A">
        <w:rPr>
          <w:rFonts w:ascii="Rubik" w:hAnsi="Rubik" w:cs="Rubik"/>
          <w:sz w:val="22"/>
          <w:szCs w:val="22"/>
        </w:rPr>
        <w:t>eer-r</w:t>
      </w:r>
      <w:r w:rsidR="00541602" w:rsidRPr="00312D9A">
        <w:rPr>
          <w:rFonts w:ascii="Rubik" w:hAnsi="Rubik" w:cs="Rubik"/>
          <w:sz w:val="22"/>
          <w:szCs w:val="22"/>
        </w:rPr>
        <w:t xml:space="preserve">eviewers </w:t>
      </w:r>
      <w:r w:rsidR="00731044" w:rsidRPr="00312D9A">
        <w:rPr>
          <w:rFonts w:ascii="Rubik" w:hAnsi="Rubik" w:cs="Rubik"/>
          <w:sz w:val="22"/>
          <w:szCs w:val="22"/>
        </w:rPr>
        <w:t>are</w:t>
      </w:r>
      <w:r w:rsidR="00541602" w:rsidRPr="00312D9A">
        <w:rPr>
          <w:rFonts w:ascii="Rubik" w:hAnsi="Rubik" w:cs="Rubik"/>
          <w:sz w:val="22"/>
          <w:szCs w:val="22"/>
        </w:rPr>
        <w:t xml:space="preserve"> </w:t>
      </w:r>
      <w:r w:rsidR="00731044" w:rsidRPr="00312D9A">
        <w:rPr>
          <w:rFonts w:ascii="Rubik" w:hAnsi="Rubik" w:cs="Rubik"/>
          <w:sz w:val="22"/>
          <w:szCs w:val="22"/>
        </w:rPr>
        <w:t xml:space="preserve">requested </w:t>
      </w:r>
      <w:r w:rsidR="00541602" w:rsidRPr="00312D9A">
        <w:rPr>
          <w:rFonts w:ascii="Rubik" w:hAnsi="Rubik" w:cs="Rubik"/>
          <w:sz w:val="22"/>
          <w:szCs w:val="22"/>
        </w:rPr>
        <w:t xml:space="preserve">to </w:t>
      </w:r>
      <w:r w:rsidRPr="00312D9A">
        <w:rPr>
          <w:rFonts w:ascii="Rubik" w:hAnsi="Rubik" w:cs="Rubik"/>
          <w:sz w:val="22"/>
          <w:szCs w:val="22"/>
        </w:rPr>
        <w:t>provide</w:t>
      </w:r>
      <w:r w:rsidR="00541602" w:rsidRPr="00312D9A">
        <w:rPr>
          <w:rFonts w:ascii="Rubik" w:hAnsi="Rubik" w:cs="Rubik"/>
          <w:sz w:val="22"/>
          <w:szCs w:val="22"/>
        </w:rPr>
        <w:t xml:space="preserve"> </w:t>
      </w:r>
      <w:r w:rsidR="00731044" w:rsidRPr="00312D9A">
        <w:rPr>
          <w:rFonts w:ascii="Rubik" w:hAnsi="Rubik" w:cs="Rubik"/>
          <w:sz w:val="22"/>
          <w:szCs w:val="22"/>
        </w:rPr>
        <w:t xml:space="preserve">written </w:t>
      </w:r>
      <w:r w:rsidR="00541602" w:rsidRPr="00312D9A">
        <w:rPr>
          <w:rFonts w:ascii="Rubik" w:hAnsi="Rubik" w:cs="Rubik"/>
          <w:sz w:val="22"/>
          <w:szCs w:val="22"/>
        </w:rPr>
        <w:t>critique</w:t>
      </w:r>
      <w:r w:rsidRPr="00312D9A">
        <w:rPr>
          <w:rFonts w:ascii="Rubik" w:hAnsi="Rubik" w:cs="Rubik"/>
          <w:sz w:val="22"/>
          <w:szCs w:val="22"/>
        </w:rPr>
        <w:t>s</w:t>
      </w:r>
      <w:r w:rsidR="00541602" w:rsidRPr="00312D9A">
        <w:rPr>
          <w:rFonts w:ascii="Rubik" w:hAnsi="Rubik" w:cs="Rubik"/>
          <w:sz w:val="22"/>
          <w:szCs w:val="22"/>
        </w:rPr>
        <w:t xml:space="preserve"> </w:t>
      </w:r>
      <w:r w:rsidR="00731044" w:rsidRPr="00312D9A">
        <w:rPr>
          <w:rFonts w:ascii="Rubik" w:hAnsi="Rubik" w:cs="Rubik"/>
          <w:sz w:val="22"/>
          <w:szCs w:val="22"/>
        </w:rPr>
        <w:t xml:space="preserve">suitable </w:t>
      </w:r>
      <w:r w:rsidRPr="00312D9A">
        <w:rPr>
          <w:rFonts w:ascii="Rubik" w:hAnsi="Rubik" w:cs="Rubik"/>
          <w:sz w:val="22"/>
          <w:szCs w:val="22"/>
        </w:rPr>
        <w:t xml:space="preserve">to be </w:t>
      </w:r>
      <w:r w:rsidR="00731044" w:rsidRPr="00312D9A">
        <w:rPr>
          <w:rFonts w:ascii="Rubik" w:hAnsi="Rubik" w:cs="Rubik"/>
          <w:sz w:val="22"/>
          <w:szCs w:val="22"/>
        </w:rPr>
        <w:t>communicated directly to the author(s). Peer-reviewers are also asked to make an editorial recommendation:</w:t>
      </w:r>
    </w:p>
    <w:p w14:paraId="59460383" w14:textId="77777777" w:rsidR="00B44437" w:rsidRPr="00312D9A" w:rsidRDefault="00B44437" w:rsidP="00731044">
      <w:pPr>
        <w:rPr>
          <w:rFonts w:ascii="Rubik" w:hAnsi="Rubik" w:cs="Rubik"/>
          <w:sz w:val="22"/>
          <w:szCs w:val="22"/>
        </w:rPr>
      </w:pPr>
    </w:p>
    <w:p w14:paraId="4281AA64" w14:textId="2F359686" w:rsidR="00731044" w:rsidRPr="00312D9A" w:rsidRDefault="00731044" w:rsidP="00B44437">
      <w:pPr>
        <w:pStyle w:val="ListParagraph"/>
        <w:numPr>
          <w:ilvl w:val="0"/>
          <w:numId w:val="18"/>
        </w:numPr>
        <w:rPr>
          <w:rFonts w:ascii="Rubik" w:hAnsi="Rubik" w:cs="Rubik"/>
          <w:sz w:val="22"/>
          <w:szCs w:val="22"/>
        </w:rPr>
      </w:pPr>
      <w:r w:rsidRPr="00312D9A">
        <w:rPr>
          <w:rFonts w:ascii="Rubik" w:hAnsi="Rubik" w:cs="Rubik"/>
          <w:sz w:val="22"/>
          <w:szCs w:val="22"/>
        </w:rPr>
        <w:t>Accept as is</w:t>
      </w:r>
    </w:p>
    <w:p w14:paraId="7F0ABA98" w14:textId="35DC70B7" w:rsidR="00731044" w:rsidRPr="00312D9A" w:rsidRDefault="003F2093" w:rsidP="00731044">
      <w:pPr>
        <w:pStyle w:val="ListParagraph"/>
        <w:numPr>
          <w:ilvl w:val="0"/>
          <w:numId w:val="18"/>
        </w:numPr>
        <w:rPr>
          <w:rFonts w:ascii="Rubik" w:hAnsi="Rubik" w:cs="Rubik"/>
          <w:sz w:val="22"/>
          <w:szCs w:val="22"/>
        </w:rPr>
      </w:pPr>
      <w:r w:rsidRPr="00312D9A">
        <w:rPr>
          <w:rFonts w:ascii="Rubik" w:hAnsi="Rubik" w:cs="Rubik"/>
          <w:sz w:val="22"/>
          <w:szCs w:val="22"/>
        </w:rPr>
        <w:t>Accept with minor revisions</w:t>
      </w:r>
    </w:p>
    <w:p w14:paraId="3AF13102" w14:textId="64DCF4BE" w:rsidR="00731044" w:rsidRPr="00312D9A" w:rsidRDefault="003F2093" w:rsidP="00731044">
      <w:pPr>
        <w:pStyle w:val="ListParagraph"/>
        <w:numPr>
          <w:ilvl w:val="0"/>
          <w:numId w:val="18"/>
        </w:numPr>
        <w:rPr>
          <w:rFonts w:ascii="Rubik" w:hAnsi="Rubik" w:cs="Rubik"/>
          <w:sz w:val="22"/>
          <w:szCs w:val="22"/>
        </w:rPr>
      </w:pPr>
      <w:r w:rsidRPr="00312D9A">
        <w:rPr>
          <w:rFonts w:ascii="Rubik" w:hAnsi="Rubik" w:cs="Rubik"/>
          <w:sz w:val="22"/>
          <w:szCs w:val="22"/>
        </w:rPr>
        <w:t>Revise and resubmit</w:t>
      </w:r>
    </w:p>
    <w:p w14:paraId="7A18AEA1" w14:textId="4503B986" w:rsidR="00731044" w:rsidRPr="00312D9A" w:rsidRDefault="00731044" w:rsidP="00731044">
      <w:pPr>
        <w:pStyle w:val="ListParagraph"/>
        <w:numPr>
          <w:ilvl w:val="0"/>
          <w:numId w:val="18"/>
        </w:numPr>
        <w:rPr>
          <w:rFonts w:ascii="Rubik" w:hAnsi="Rubik" w:cs="Rubik"/>
          <w:sz w:val="22"/>
          <w:szCs w:val="22"/>
        </w:rPr>
      </w:pPr>
      <w:r w:rsidRPr="00312D9A">
        <w:rPr>
          <w:rFonts w:ascii="Rubik" w:hAnsi="Rubik" w:cs="Rubik"/>
          <w:sz w:val="22"/>
          <w:szCs w:val="22"/>
        </w:rPr>
        <w:t>Reject</w:t>
      </w:r>
    </w:p>
    <w:p w14:paraId="2881FC40" w14:textId="51F1DFB5" w:rsidR="00541602" w:rsidRPr="00312D9A" w:rsidRDefault="00541602" w:rsidP="001E24B7">
      <w:pPr>
        <w:rPr>
          <w:rFonts w:ascii="Rubik" w:hAnsi="Rubik" w:cs="Rubik"/>
          <w:sz w:val="22"/>
          <w:szCs w:val="22"/>
        </w:rPr>
      </w:pPr>
    </w:p>
    <w:p w14:paraId="4720159E" w14:textId="4AA8951F" w:rsidR="00731044" w:rsidRPr="00312D9A" w:rsidRDefault="00731044" w:rsidP="001E24B7">
      <w:pPr>
        <w:rPr>
          <w:rFonts w:asciiTheme="minorHAnsi" w:hAnsiTheme="minorHAnsi" w:cstheme="minorHAnsi"/>
          <w:sz w:val="22"/>
          <w:szCs w:val="22"/>
        </w:rPr>
      </w:pPr>
      <w:r w:rsidRPr="00312D9A">
        <w:rPr>
          <w:rFonts w:ascii="Rubik" w:hAnsi="Rubik" w:cs="Rubik"/>
          <w:sz w:val="22"/>
          <w:szCs w:val="22"/>
        </w:rPr>
        <w:t xml:space="preserve">Papers may be accepted, </w:t>
      </w:r>
      <w:r w:rsidR="009D6B6A" w:rsidRPr="00312D9A">
        <w:rPr>
          <w:rFonts w:ascii="Rubik" w:hAnsi="Rubik" w:cs="Rubik"/>
          <w:sz w:val="22"/>
          <w:szCs w:val="22"/>
        </w:rPr>
        <w:t>rejected</w:t>
      </w:r>
      <w:r w:rsidRPr="00312D9A">
        <w:rPr>
          <w:rFonts w:ascii="Rubik" w:hAnsi="Rubik" w:cs="Rubik"/>
          <w:sz w:val="22"/>
          <w:szCs w:val="22"/>
        </w:rPr>
        <w:t>, or returned to the author</w:t>
      </w:r>
      <w:r w:rsidR="003F2093" w:rsidRPr="00312D9A">
        <w:rPr>
          <w:rFonts w:ascii="Rubik" w:hAnsi="Rubik" w:cs="Rubik"/>
          <w:sz w:val="22"/>
          <w:szCs w:val="22"/>
        </w:rPr>
        <w:t>s</w:t>
      </w:r>
      <w:r w:rsidRPr="00312D9A">
        <w:rPr>
          <w:rFonts w:ascii="Rubik" w:hAnsi="Rubik" w:cs="Rubik"/>
          <w:sz w:val="22"/>
          <w:szCs w:val="22"/>
        </w:rPr>
        <w:t xml:space="preserve"> </w:t>
      </w:r>
      <w:r w:rsidR="009D6B6A" w:rsidRPr="00312D9A">
        <w:rPr>
          <w:rFonts w:ascii="Rubik" w:hAnsi="Rubik" w:cs="Rubik"/>
          <w:sz w:val="22"/>
          <w:szCs w:val="22"/>
        </w:rPr>
        <w:t xml:space="preserve">at any point in </w:t>
      </w:r>
      <w:r w:rsidRPr="00312D9A">
        <w:rPr>
          <w:rFonts w:ascii="Rubik" w:hAnsi="Rubik" w:cs="Rubik"/>
          <w:sz w:val="22"/>
          <w:szCs w:val="22"/>
        </w:rPr>
        <w:t xml:space="preserve">the </w:t>
      </w:r>
      <w:r w:rsidR="009D6B6A" w:rsidRPr="00312D9A">
        <w:rPr>
          <w:rFonts w:ascii="Rubik" w:hAnsi="Rubik" w:cs="Rubik"/>
          <w:sz w:val="22"/>
          <w:szCs w:val="22"/>
        </w:rPr>
        <w:t>peer-</w:t>
      </w:r>
      <w:r w:rsidRPr="00312D9A">
        <w:rPr>
          <w:rFonts w:ascii="Rubik" w:hAnsi="Rubik" w:cs="Rubik"/>
          <w:sz w:val="22"/>
          <w:szCs w:val="22"/>
        </w:rPr>
        <w:t xml:space="preserve">review process. The </w:t>
      </w:r>
      <w:r w:rsidR="00D47DBC" w:rsidRPr="00312D9A">
        <w:rPr>
          <w:rFonts w:ascii="Rubik" w:hAnsi="Rubik" w:cs="Rubik"/>
          <w:sz w:val="22"/>
          <w:szCs w:val="22"/>
        </w:rPr>
        <w:t>managing editor</w:t>
      </w:r>
      <w:r w:rsidR="009D6B6A" w:rsidRPr="00312D9A">
        <w:rPr>
          <w:rFonts w:ascii="Rubik" w:hAnsi="Rubik" w:cs="Rubik"/>
          <w:sz w:val="22"/>
          <w:szCs w:val="22"/>
        </w:rPr>
        <w:t xml:space="preserve"> </w:t>
      </w:r>
      <w:r w:rsidRPr="00312D9A">
        <w:rPr>
          <w:rFonts w:ascii="Rubik" w:hAnsi="Rubik" w:cs="Rubik"/>
          <w:sz w:val="22"/>
          <w:szCs w:val="22"/>
        </w:rPr>
        <w:t xml:space="preserve">will provide authors with the </w:t>
      </w:r>
      <w:r w:rsidR="00D47DBC" w:rsidRPr="00312D9A">
        <w:rPr>
          <w:rFonts w:ascii="Rubik" w:hAnsi="Rubik" w:cs="Rubik"/>
          <w:sz w:val="22"/>
          <w:szCs w:val="22"/>
        </w:rPr>
        <w:t xml:space="preserve">Editorial Board’s decision and </w:t>
      </w:r>
      <w:r w:rsidR="003F2093" w:rsidRPr="00312D9A">
        <w:rPr>
          <w:rFonts w:ascii="Rubik" w:hAnsi="Rubik" w:cs="Rubik"/>
          <w:sz w:val="22"/>
          <w:szCs w:val="22"/>
        </w:rPr>
        <w:t xml:space="preserve">blinded </w:t>
      </w:r>
      <w:r w:rsidR="009D6B6A" w:rsidRPr="00312D9A">
        <w:rPr>
          <w:rFonts w:ascii="Rubik" w:hAnsi="Rubik" w:cs="Rubik"/>
          <w:sz w:val="22"/>
          <w:szCs w:val="22"/>
        </w:rPr>
        <w:t>peer</w:t>
      </w:r>
      <w:r w:rsidR="003F2093" w:rsidRPr="00312D9A">
        <w:rPr>
          <w:rFonts w:ascii="Rubik" w:hAnsi="Rubik" w:cs="Rubik"/>
          <w:sz w:val="22"/>
          <w:szCs w:val="22"/>
        </w:rPr>
        <w:t xml:space="preserve"> </w:t>
      </w:r>
      <w:r w:rsidRPr="00312D9A">
        <w:rPr>
          <w:rFonts w:ascii="Rubik" w:hAnsi="Rubik" w:cs="Rubik"/>
          <w:sz w:val="22"/>
          <w:szCs w:val="22"/>
        </w:rPr>
        <w:t>review</w:t>
      </w:r>
      <w:r w:rsidR="003F2093" w:rsidRPr="00312D9A">
        <w:rPr>
          <w:rFonts w:ascii="Rubik" w:hAnsi="Rubik" w:cs="Rubik"/>
          <w:sz w:val="22"/>
          <w:szCs w:val="22"/>
        </w:rPr>
        <w:t>s</w:t>
      </w:r>
      <w:r w:rsidRPr="00312D9A">
        <w:rPr>
          <w:rFonts w:ascii="Rubik" w:hAnsi="Rubik" w:cs="Rubik"/>
          <w:sz w:val="22"/>
          <w:szCs w:val="22"/>
        </w:rPr>
        <w:t xml:space="preserve">. If revisions are requested to a manuscript, they must be received by the </w:t>
      </w:r>
      <w:r w:rsidR="00733961" w:rsidRPr="00312D9A">
        <w:rPr>
          <w:rFonts w:ascii="Rubik" w:hAnsi="Rubik" w:cs="Rubik"/>
          <w:sz w:val="22"/>
          <w:szCs w:val="22"/>
        </w:rPr>
        <w:t>e</w:t>
      </w:r>
      <w:r w:rsidR="009D6B6A" w:rsidRPr="00312D9A">
        <w:rPr>
          <w:rFonts w:ascii="Rubik" w:hAnsi="Rubik" w:cs="Rubik"/>
          <w:sz w:val="22"/>
          <w:szCs w:val="22"/>
        </w:rPr>
        <w:t>ditor</w:t>
      </w:r>
      <w:r w:rsidR="00E725BC">
        <w:rPr>
          <w:rFonts w:ascii="Rubik" w:hAnsi="Rubik" w:cs="Rubik"/>
          <w:sz w:val="22"/>
          <w:szCs w:val="22"/>
        </w:rPr>
        <w:t>-</w:t>
      </w:r>
      <w:r w:rsidR="009D6B6A" w:rsidRPr="00312D9A">
        <w:rPr>
          <w:rFonts w:ascii="Rubik" w:hAnsi="Rubik" w:cs="Rubik"/>
          <w:sz w:val="22"/>
          <w:szCs w:val="22"/>
        </w:rPr>
        <w:t>in</w:t>
      </w:r>
      <w:r w:rsidR="00E725BC">
        <w:rPr>
          <w:rFonts w:ascii="Rubik" w:hAnsi="Rubik" w:cs="Rubik"/>
          <w:sz w:val="22"/>
          <w:szCs w:val="22"/>
        </w:rPr>
        <w:t>-</w:t>
      </w:r>
      <w:r w:rsidR="00733961" w:rsidRPr="00312D9A">
        <w:rPr>
          <w:rFonts w:ascii="Rubik" w:hAnsi="Rubik" w:cs="Rubik"/>
          <w:sz w:val="22"/>
          <w:szCs w:val="22"/>
        </w:rPr>
        <w:t>c</w:t>
      </w:r>
      <w:r w:rsidR="009D6B6A" w:rsidRPr="00312D9A">
        <w:rPr>
          <w:rFonts w:ascii="Rubik" w:hAnsi="Rubik" w:cs="Rubik"/>
          <w:sz w:val="22"/>
          <w:szCs w:val="22"/>
        </w:rPr>
        <w:t xml:space="preserve">hief </w:t>
      </w:r>
      <w:r w:rsidR="00F0121C" w:rsidRPr="00312D9A">
        <w:rPr>
          <w:rFonts w:ascii="Rubik" w:hAnsi="Rubik" w:cs="Rubik"/>
          <w:b/>
          <w:sz w:val="22"/>
          <w:szCs w:val="22"/>
        </w:rPr>
        <w:t xml:space="preserve">within </w:t>
      </w:r>
      <w:r w:rsidR="006041C6" w:rsidRPr="00312D9A">
        <w:rPr>
          <w:rFonts w:ascii="Rubik" w:hAnsi="Rubik" w:cs="Rubik"/>
          <w:b/>
          <w:sz w:val="22"/>
          <w:szCs w:val="22"/>
        </w:rPr>
        <w:t>60</w:t>
      </w:r>
      <w:r w:rsidR="00F0121C" w:rsidRPr="00312D9A">
        <w:rPr>
          <w:rFonts w:ascii="Rubik" w:hAnsi="Rubik" w:cs="Rubik"/>
          <w:b/>
          <w:sz w:val="22"/>
          <w:szCs w:val="22"/>
        </w:rPr>
        <w:t xml:space="preserve"> days</w:t>
      </w:r>
      <w:r w:rsidR="009D6B6A" w:rsidRPr="00312D9A">
        <w:rPr>
          <w:rFonts w:ascii="Rubik" w:hAnsi="Rubik" w:cs="Rubik"/>
          <w:sz w:val="22"/>
          <w:szCs w:val="22"/>
        </w:rPr>
        <w:t xml:space="preserve">, </w:t>
      </w:r>
      <w:r w:rsidRPr="00312D9A">
        <w:rPr>
          <w:rFonts w:ascii="Rubik" w:hAnsi="Rubik" w:cs="Rubik"/>
          <w:sz w:val="22"/>
          <w:szCs w:val="22"/>
        </w:rPr>
        <w:t>unless prior approval is granted for an extension</w:t>
      </w:r>
      <w:r w:rsidR="003F2093" w:rsidRPr="00312D9A">
        <w:rPr>
          <w:rFonts w:ascii="Rubik" w:hAnsi="Rubik" w:cs="Rubik"/>
          <w:sz w:val="22"/>
          <w:szCs w:val="22"/>
        </w:rPr>
        <w:t>.</w:t>
      </w:r>
    </w:p>
    <w:p w14:paraId="40D39F1B" w14:textId="77777777" w:rsidR="00BB04DD" w:rsidRPr="00312D9A" w:rsidRDefault="00BB04DD" w:rsidP="00CC4736">
      <w:pPr>
        <w:rPr>
          <w:rFonts w:asciiTheme="minorHAnsi" w:hAnsiTheme="minorHAnsi" w:cstheme="minorHAnsi"/>
          <w:sz w:val="22"/>
          <w:szCs w:val="22"/>
        </w:rPr>
      </w:pPr>
    </w:p>
    <w:p w14:paraId="17716742" w14:textId="4856A13D" w:rsidR="00FA165F" w:rsidRPr="00312D9A" w:rsidRDefault="005764C3" w:rsidP="00CC4736">
      <w:pPr>
        <w:rPr>
          <w:rFonts w:ascii="Rubik" w:hAnsi="Rubik" w:cs="Rubik"/>
          <w:sz w:val="22"/>
          <w:szCs w:val="22"/>
        </w:rPr>
      </w:pPr>
      <w:r w:rsidRPr="00312D9A">
        <w:rPr>
          <w:rFonts w:ascii="Rubik" w:hAnsi="Rubik" w:cs="Rubik"/>
          <w:sz w:val="22"/>
          <w:szCs w:val="22"/>
        </w:rPr>
        <w:t xml:space="preserve">Please direct all inquiries regarding the </w:t>
      </w:r>
      <w:r w:rsidR="00056120" w:rsidRPr="00312D9A">
        <w:rPr>
          <w:rFonts w:ascii="Rubik" w:hAnsi="Rubik" w:cs="Rubik"/>
          <w:sz w:val="22"/>
          <w:szCs w:val="22"/>
        </w:rPr>
        <w:t>manuscripts and the submission and peer-</w:t>
      </w:r>
      <w:r w:rsidRPr="00312D9A">
        <w:rPr>
          <w:rFonts w:ascii="Rubik" w:hAnsi="Rubik" w:cs="Rubik"/>
          <w:sz w:val="22"/>
          <w:szCs w:val="22"/>
        </w:rPr>
        <w:t>review process</w:t>
      </w:r>
      <w:r w:rsidR="00056120" w:rsidRPr="00312D9A">
        <w:rPr>
          <w:rFonts w:ascii="Rubik" w:hAnsi="Rubik" w:cs="Rubik"/>
          <w:sz w:val="22"/>
          <w:szCs w:val="22"/>
        </w:rPr>
        <w:t>es</w:t>
      </w:r>
      <w:r w:rsidRPr="00312D9A">
        <w:rPr>
          <w:rFonts w:ascii="Rubik" w:hAnsi="Rubik" w:cs="Rubik"/>
          <w:sz w:val="22"/>
          <w:szCs w:val="22"/>
        </w:rPr>
        <w:t xml:space="preserve"> to </w:t>
      </w:r>
      <w:r w:rsidR="00D30FCC" w:rsidRPr="00312D9A">
        <w:rPr>
          <w:rFonts w:ascii="Rubik" w:hAnsi="Rubik" w:cs="Rubik"/>
          <w:sz w:val="22"/>
          <w:szCs w:val="22"/>
        </w:rPr>
        <w:t xml:space="preserve">the </w:t>
      </w:r>
      <w:r w:rsidR="004C45FE" w:rsidRPr="00312D9A">
        <w:rPr>
          <w:rFonts w:ascii="Rubik" w:hAnsi="Rubik" w:cs="Rubik"/>
          <w:sz w:val="22"/>
          <w:szCs w:val="22"/>
        </w:rPr>
        <w:t>National Drug Court Resource Center</w:t>
      </w:r>
      <w:r w:rsidR="00E725BC">
        <w:rPr>
          <w:rFonts w:ascii="Rubik" w:hAnsi="Rubik" w:cs="Rubik"/>
          <w:sz w:val="22"/>
          <w:szCs w:val="22"/>
        </w:rPr>
        <w:t xml:space="preserve"> (NDCRC)</w:t>
      </w:r>
      <w:r w:rsidR="004C45FE" w:rsidRPr="00312D9A">
        <w:rPr>
          <w:rFonts w:ascii="Rubik" w:hAnsi="Rubik" w:cs="Rubik"/>
          <w:sz w:val="22"/>
          <w:szCs w:val="22"/>
        </w:rPr>
        <w:t xml:space="preserve"> at </w:t>
      </w:r>
      <w:hyperlink r:id="rId9" w:history="1">
        <w:r w:rsidR="00F0121C" w:rsidRPr="00312D9A">
          <w:rPr>
            <w:rStyle w:val="Hyperlink"/>
            <w:rFonts w:ascii="Rubik" w:hAnsi="Rubik" w:cs="Rubik"/>
            <w:sz w:val="22"/>
            <w:szCs w:val="22"/>
          </w:rPr>
          <w:t>ndcrc@uncw.edu</w:t>
        </w:r>
      </w:hyperlink>
      <w:r w:rsidR="00987DCF">
        <w:rPr>
          <w:rFonts w:ascii="Rubik" w:hAnsi="Rubik" w:cs="Rubik"/>
          <w:sz w:val="22"/>
          <w:szCs w:val="22"/>
        </w:rPr>
        <w:t>.</w:t>
      </w:r>
    </w:p>
    <w:sectPr w:rsidR="00FA165F" w:rsidRPr="00312D9A" w:rsidSect="006D164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6660" w14:textId="77777777" w:rsidR="00D20D33" w:rsidRDefault="00D20D33" w:rsidP="001E4954">
      <w:r>
        <w:separator/>
      </w:r>
    </w:p>
  </w:endnote>
  <w:endnote w:type="continuationSeparator" w:id="0">
    <w:p w14:paraId="2630D59B" w14:textId="77777777" w:rsidR="00D20D33" w:rsidRDefault="00D20D33" w:rsidP="001E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pgrade Medium">
    <w:altName w:val="Calibri"/>
    <w:panose1 w:val="020B0604020202020204"/>
    <w:charset w:val="00"/>
    <w:family w:val="modern"/>
    <w:notTrueType/>
    <w:pitch w:val="variable"/>
    <w:sig w:usb0="A00000FF" w:usb1="5000A04B" w:usb2="00000000" w:usb3="00000000" w:csb0="00000193" w:csb1="00000000"/>
  </w:font>
  <w:font w:name="Upgrade">
    <w:altName w:val="Calibri"/>
    <w:panose1 w:val="020B0604020202020204"/>
    <w:charset w:val="00"/>
    <w:family w:val="modern"/>
    <w:notTrueType/>
    <w:pitch w:val="variable"/>
    <w:sig w:usb0="A00000FF" w:usb1="5000A04B" w:usb2="00000000" w:usb3="00000000" w:csb0="00000193" w:csb1="00000000"/>
  </w:font>
  <w:font w:name="Rubik">
    <w:altName w:val="Arial"/>
    <w:panose1 w:val="020B0604020202020204"/>
    <w:charset w:val="00"/>
    <w:family w:val="auto"/>
    <w:pitch w:val="variable"/>
    <w:sig w:usb0="00000A07" w:usb1="40000001" w:usb2="00000000" w:usb3="00000000" w:csb0="000000B7" w:csb1="00000000"/>
  </w:font>
  <w:font w:name="Rubik Medium">
    <w:altName w:val="Arial"/>
    <w:panose1 w:val="020B0604020202020204"/>
    <w:charset w:val="00"/>
    <w:family w:val="auto"/>
    <w:pitch w:val="variable"/>
    <w:sig w:usb0="00000A07" w:usb1="40000001" w:usb2="00000000" w:usb3="00000000" w:csb0="000000B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B501" w14:textId="77777777" w:rsidR="00815134" w:rsidRDefault="0081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5F772" w14:textId="77777777" w:rsidR="00D6059D" w:rsidRPr="00F0121C" w:rsidRDefault="00D6059D" w:rsidP="00D6059D">
    <w:pPr>
      <w:ind w:left="-1440" w:right="-1440"/>
      <w:jc w:val="center"/>
      <w:rPr>
        <w:color w:val="002060"/>
        <w:sz w:val="28"/>
        <w:szCs w:val="28"/>
        <w:u w:val="single"/>
      </w:rPr>
    </w:pPr>
    <w:r w:rsidRPr="00F0121C">
      <w:rPr>
        <w:color w:val="002060"/>
        <w:sz w:val="28"/>
        <w:szCs w:val="28"/>
        <w:u w:val="single"/>
      </w:rPr>
      <w:t>_____________________________________________________________________________</w:t>
    </w:r>
  </w:p>
  <w:p w14:paraId="3D3A1647" w14:textId="77777777" w:rsidR="00F0121C" w:rsidRPr="00F0121C" w:rsidRDefault="00F0121C" w:rsidP="00F0121C">
    <w:pPr>
      <w:pStyle w:val="Footer"/>
      <w:spacing w:before="120" w:line="276" w:lineRule="auto"/>
      <w:jc w:val="center"/>
      <w:rPr>
        <w:smallCaps/>
        <w:color w:val="002060"/>
        <w:sz w:val="20"/>
        <w:szCs w:val="18"/>
      </w:rPr>
    </w:pPr>
    <w:r w:rsidRPr="00F0121C">
      <w:rPr>
        <w:smallCaps/>
        <w:color w:val="002060"/>
        <w:sz w:val="20"/>
        <w:szCs w:val="18"/>
      </w:rPr>
      <w:t>National Drug Court Resource Center</w:t>
    </w:r>
  </w:p>
  <w:p w14:paraId="78756BAB" w14:textId="77777777" w:rsidR="00F0121C" w:rsidRPr="00F0121C" w:rsidRDefault="00F0121C" w:rsidP="00F0121C">
    <w:pPr>
      <w:pStyle w:val="Footer"/>
      <w:tabs>
        <w:tab w:val="left" w:pos="1065"/>
        <w:tab w:val="center" w:pos="5400"/>
      </w:tabs>
      <w:spacing w:line="276" w:lineRule="auto"/>
      <w:jc w:val="center"/>
      <w:rPr>
        <w:smallCaps/>
        <w:color w:val="002060"/>
        <w:sz w:val="20"/>
        <w:szCs w:val="18"/>
      </w:rPr>
    </w:pPr>
    <w:r w:rsidRPr="00F0121C">
      <w:rPr>
        <w:smallCaps/>
        <w:color w:val="002060"/>
        <w:sz w:val="20"/>
        <w:szCs w:val="18"/>
      </w:rPr>
      <w:t>Social Science Applied Research Center, University of North Carolina Wilmington</w:t>
    </w:r>
  </w:p>
  <w:p w14:paraId="4BB08312" w14:textId="77777777" w:rsidR="00F0121C" w:rsidRPr="00F0121C" w:rsidRDefault="00F0121C" w:rsidP="00F0121C">
    <w:pPr>
      <w:pStyle w:val="Footer"/>
      <w:spacing w:line="276" w:lineRule="auto"/>
      <w:jc w:val="center"/>
      <w:rPr>
        <w:smallCaps/>
        <w:color w:val="002060"/>
        <w:sz w:val="20"/>
        <w:szCs w:val="18"/>
      </w:rPr>
    </w:pPr>
    <w:r w:rsidRPr="00F0121C">
      <w:rPr>
        <w:smallCaps/>
        <w:color w:val="002060"/>
        <w:sz w:val="20"/>
        <w:szCs w:val="18"/>
      </w:rPr>
      <w:t>601 South College Road | Wilmington, NC 28403-5978</w:t>
    </w:r>
  </w:p>
  <w:p w14:paraId="352B198D" w14:textId="2689259C" w:rsidR="00D6059D" w:rsidRDefault="00F0121C" w:rsidP="00F0121C">
    <w:pPr>
      <w:pStyle w:val="Footer"/>
      <w:tabs>
        <w:tab w:val="clear" w:pos="4320"/>
        <w:tab w:val="clear" w:pos="8640"/>
      </w:tabs>
      <w:spacing w:line="276" w:lineRule="auto"/>
      <w:jc w:val="center"/>
      <w:rPr>
        <w:smallCaps/>
        <w:color w:val="002060"/>
        <w:sz w:val="20"/>
        <w:szCs w:val="18"/>
      </w:rPr>
    </w:pPr>
    <w:r w:rsidRPr="00F0121C">
      <w:rPr>
        <w:smallCaps/>
        <w:color w:val="002060"/>
        <w:sz w:val="20"/>
        <w:szCs w:val="18"/>
      </w:rPr>
      <w:t xml:space="preserve">910-962-2440 | </w:t>
    </w:r>
    <w:r w:rsidRPr="00312D9A">
      <w:rPr>
        <w:smallCaps/>
        <w:color w:val="002060"/>
        <w:sz w:val="20"/>
        <w:szCs w:val="18"/>
      </w:rPr>
      <w:t>www.ndcrc.org</w:t>
    </w:r>
  </w:p>
  <w:p w14:paraId="193D071D" w14:textId="77777777" w:rsidR="00F0121C" w:rsidRPr="00F0121C" w:rsidRDefault="00F0121C" w:rsidP="00F0121C">
    <w:pPr>
      <w:pStyle w:val="Footer"/>
      <w:tabs>
        <w:tab w:val="clear" w:pos="4320"/>
        <w:tab w:val="clear" w:pos="8640"/>
      </w:tabs>
      <w:spacing w:line="276" w:lineRule="auto"/>
      <w:jc w:val="center"/>
      <w:rPr>
        <w:smallCaps/>
        <w:color w:val="002060"/>
        <w:sz w:val="20"/>
        <w:szCs w:val="18"/>
      </w:rPr>
    </w:pPr>
  </w:p>
  <w:p w14:paraId="004CF076" w14:textId="77777777" w:rsidR="00282989" w:rsidRPr="00282989" w:rsidRDefault="00282989" w:rsidP="00282989">
    <w:pPr>
      <w:pStyle w:val="Footer"/>
      <w:tabs>
        <w:tab w:val="clear" w:pos="4320"/>
        <w:tab w:val="clear" w:pos="8640"/>
        <w:tab w:val="left" w:pos="5280"/>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AFAB" w14:textId="77777777" w:rsidR="003A541A" w:rsidRPr="00F0121C" w:rsidRDefault="003A541A" w:rsidP="003A541A">
    <w:pPr>
      <w:ind w:left="-1440" w:right="-1440"/>
      <w:jc w:val="center"/>
      <w:rPr>
        <w:color w:val="2A00FF"/>
        <w:sz w:val="28"/>
        <w:szCs w:val="28"/>
        <w:u w:val="single"/>
      </w:rPr>
    </w:pPr>
    <w:r>
      <w:tab/>
    </w:r>
    <w:r w:rsidRPr="00F0121C">
      <w:rPr>
        <w:color w:val="002060"/>
        <w:sz w:val="28"/>
        <w:szCs w:val="28"/>
        <w:u w:val="single"/>
      </w:rPr>
      <w:t>_____________________________________________________________________________</w:t>
    </w:r>
  </w:p>
  <w:p w14:paraId="5C322576" w14:textId="77777777" w:rsidR="003A541A" w:rsidRPr="00F0121C" w:rsidRDefault="003A541A" w:rsidP="003A541A">
    <w:pPr>
      <w:pStyle w:val="Footer"/>
      <w:spacing w:before="120" w:line="276" w:lineRule="auto"/>
      <w:jc w:val="center"/>
      <w:rPr>
        <w:smallCaps/>
        <w:color w:val="002060"/>
        <w:sz w:val="20"/>
        <w:szCs w:val="18"/>
      </w:rPr>
    </w:pPr>
    <w:r w:rsidRPr="00F0121C">
      <w:rPr>
        <w:smallCaps/>
        <w:color w:val="002060"/>
        <w:sz w:val="20"/>
        <w:szCs w:val="18"/>
      </w:rPr>
      <w:t>National Drug Court Resource Center</w:t>
    </w:r>
  </w:p>
  <w:p w14:paraId="0AD400E7" w14:textId="6902FC0E" w:rsidR="003A541A" w:rsidRPr="00F0121C" w:rsidRDefault="00F0121C" w:rsidP="003A541A">
    <w:pPr>
      <w:pStyle w:val="Footer"/>
      <w:tabs>
        <w:tab w:val="left" w:pos="1065"/>
        <w:tab w:val="center" w:pos="5400"/>
      </w:tabs>
      <w:spacing w:line="276" w:lineRule="auto"/>
      <w:jc w:val="center"/>
      <w:rPr>
        <w:smallCaps/>
        <w:color w:val="002060"/>
        <w:sz w:val="20"/>
        <w:szCs w:val="18"/>
      </w:rPr>
    </w:pPr>
    <w:r w:rsidRPr="00F0121C">
      <w:rPr>
        <w:smallCaps/>
        <w:color w:val="002060"/>
        <w:sz w:val="20"/>
        <w:szCs w:val="18"/>
      </w:rPr>
      <w:t>Social Science Applied Research Center, University of North Carolina Wilmington</w:t>
    </w:r>
  </w:p>
  <w:p w14:paraId="02335A04" w14:textId="7983F8AE" w:rsidR="003A541A" w:rsidRPr="00F0121C" w:rsidRDefault="00F0121C" w:rsidP="003A541A">
    <w:pPr>
      <w:pStyle w:val="Footer"/>
      <w:spacing w:line="276" w:lineRule="auto"/>
      <w:jc w:val="center"/>
      <w:rPr>
        <w:smallCaps/>
        <w:color w:val="002060"/>
        <w:sz w:val="20"/>
        <w:szCs w:val="18"/>
      </w:rPr>
    </w:pPr>
    <w:r w:rsidRPr="00F0121C">
      <w:rPr>
        <w:smallCaps/>
        <w:color w:val="002060"/>
        <w:sz w:val="20"/>
        <w:szCs w:val="18"/>
      </w:rPr>
      <w:t>601 South College Road | Wilmington, NC 28403-5978</w:t>
    </w:r>
  </w:p>
  <w:p w14:paraId="5AC73812" w14:textId="2341C9E2" w:rsidR="003A541A" w:rsidRPr="00F0121C" w:rsidRDefault="00F0121C" w:rsidP="003A541A">
    <w:pPr>
      <w:pStyle w:val="Footer"/>
      <w:tabs>
        <w:tab w:val="clear" w:pos="4320"/>
        <w:tab w:val="clear" w:pos="8640"/>
      </w:tabs>
      <w:spacing w:line="276" w:lineRule="auto"/>
      <w:jc w:val="center"/>
      <w:rPr>
        <w:smallCaps/>
        <w:color w:val="002060"/>
        <w:sz w:val="20"/>
        <w:szCs w:val="18"/>
      </w:rPr>
    </w:pPr>
    <w:r w:rsidRPr="00F0121C">
      <w:rPr>
        <w:smallCaps/>
        <w:color w:val="002060"/>
        <w:sz w:val="20"/>
        <w:szCs w:val="18"/>
      </w:rPr>
      <w:t>910-962-2440 | w</w:t>
    </w:r>
    <w:r w:rsidR="003A541A" w:rsidRPr="00F0121C">
      <w:rPr>
        <w:smallCaps/>
        <w:color w:val="002060"/>
        <w:sz w:val="20"/>
        <w:szCs w:val="18"/>
      </w:rPr>
      <w:t>ww.ndcrc.org</w:t>
    </w:r>
  </w:p>
  <w:p w14:paraId="52956850" w14:textId="77777777" w:rsidR="003A541A" w:rsidRPr="003A541A" w:rsidRDefault="003A541A" w:rsidP="003A541A">
    <w:pPr>
      <w:pStyle w:val="Footer"/>
      <w:tabs>
        <w:tab w:val="clear" w:pos="4320"/>
        <w:tab w:val="clear" w:pos="8640"/>
      </w:tabs>
      <w:spacing w:line="276" w:lineRule="auto"/>
      <w:jc w:val="center"/>
      <w:rPr>
        <w:smallCaps/>
        <w:color w:val="000080"/>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48E66" w14:textId="77777777" w:rsidR="00D20D33" w:rsidRDefault="00D20D33" w:rsidP="001E4954">
      <w:r>
        <w:separator/>
      </w:r>
    </w:p>
  </w:footnote>
  <w:footnote w:type="continuationSeparator" w:id="0">
    <w:p w14:paraId="011FB561" w14:textId="77777777" w:rsidR="00D20D33" w:rsidRDefault="00D20D33" w:rsidP="001E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E69F" w14:textId="57F8A29B" w:rsidR="00815134" w:rsidRDefault="00815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7EF8" w14:textId="7882FB42" w:rsidR="00BD59B3" w:rsidRDefault="00BD59B3"/>
  <w:p w14:paraId="413642DB" w14:textId="5FBB709D" w:rsidR="00BD59B3" w:rsidRDefault="00BD59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A78F" w14:textId="289C435B" w:rsidR="006D1643" w:rsidRDefault="006D1643" w:rsidP="00C709AC">
    <w:pPr>
      <w:pStyle w:val="Header"/>
      <w:rPr>
        <w:b/>
        <w:sz w:val="28"/>
        <w:szCs w:val="20"/>
      </w:rPr>
    </w:pPr>
    <w:r>
      <w:rPr>
        <w:noProof/>
      </w:rPr>
      <w:drawing>
        <wp:anchor distT="0" distB="0" distL="114300" distR="114300" simplePos="0" relativeHeight="251659264" behindDoc="0" locked="0" layoutInCell="1" allowOverlap="0" wp14:anchorId="1DD182B6" wp14:editId="756756FD">
          <wp:simplePos x="0" y="0"/>
          <wp:positionH relativeFrom="page">
            <wp:posOffset>3200400</wp:posOffset>
          </wp:positionH>
          <wp:positionV relativeFrom="page">
            <wp:posOffset>0</wp:posOffset>
          </wp:positionV>
          <wp:extent cx="4590288" cy="1389888"/>
          <wp:effectExtent l="0" t="0" r="1270" b="1270"/>
          <wp:wrapThrough wrapText="bothSides">
            <wp:wrapPolygon edited="0">
              <wp:start x="0" y="0"/>
              <wp:lineTo x="0" y="296"/>
              <wp:lineTo x="6365" y="4739"/>
              <wp:lineTo x="15689" y="14216"/>
              <wp:lineTo x="21247" y="21324"/>
              <wp:lineTo x="21516" y="21324"/>
              <wp:lineTo x="21516" y="1777"/>
              <wp:lineTo x="20530" y="0"/>
              <wp:lineTo x="0" y="0"/>
            </wp:wrapPolygon>
          </wp:wrapThrough>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Hea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90288" cy="1389888"/>
                  </a:xfrm>
                  <a:prstGeom prst="rect">
                    <a:avLst/>
                  </a:prstGeom>
                </pic:spPr>
              </pic:pic>
            </a:graphicData>
          </a:graphic>
          <wp14:sizeRelH relativeFrom="margin">
            <wp14:pctWidth>0</wp14:pctWidth>
          </wp14:sizeRelH>
          <wp14:sizeRelV relativeFrom="margin">
            <wp14:pctHeight>0</wp14:pctHeight>
          </wp14:sizeRelV>
        </wp:anchor>
      </w:drawing>
    </w:r>
  </w:p>
  <w:p w14:paraId="7C149E94" w14:textId="503E22EC" w:rsidR="006D1643" w:rsidRDefault="006D1643" w:rsidP="00C709AC">
    <w:pPr>
      <w:pStyle w:val="Header"/>
      <w:rPr>
        <w:b/>
        <w:sz w:val="28"/>
        <w:szCs w:val="20"/>
      </w:rPr>
    </w:pPr>
  </w:p>
  <w:p w14:paraId="1425A93D" w14:textId="463CE14E" w:rsidR="00BD59B3" w:rsidRPr="00C709AC" w:rsidRDefault="006D1643" w:rsidP="00C709AC">
    <w:pPr>
      <w:pStyle w:val="Header"/>
      <w:rPr>
        <w:b/>
        <w:sz w:val="28"/>
        <w:szCs w:val="20"/>
      </w:rPr>
    </w:pPr>
    <w:r>
      <w:rPr>
        <w:b/>
        <w:noProof/>
        <w:sz w:val="28"/>
        <w:szCs w:val="20"/>
      </w:rPr>
      <w:drawing>
        <wp:inline distT="0" distB="0" distL="0" distR="0" wp14:anchorId="0623E5DF" wp14:editId="186BE2C1">
          <wp:extent cx="3657600" cy="775344"/>
          <wp:effectExtent l="0" t="0" r="0" b="571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RC_MainLogo.svg"/>
                  <pic:cNvPicPr/>
                </pic:nvPicPr>
                <pic:blipFill>
                  <a:blip r:embed="rId3">
                    <a:extLst>
                      <a:ext uri="{96DAC541-7B7A-43D3-8B79-37D633B846F1}">
                        <asvg:svgBlip xmlns:asvg="http://schemas.microsoft.com/office/drawing/2016/SVG/main" r:embed="rId4"/>
                      </a:ext>
                    </a:extLst>
                  </a:blip>
                  <a:stretch>
                    <a:fillRect/>
                  </a:stretch>
                </pic:blipFill>
                <pic:spPr>
                  <a:xfrm>
                    <a:off x="0" y="0"/>
                    <a:ext cx="3657600" cy="775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36E2"/>
    <w:multiLevelType w:val="hybridMultilevel"/>
    <w:tmpl w:val="8D2E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326D3"/>
    <w:multiLevelType w:val="hybridMultilevel"/>
    <w:tmpl w:val="BEA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A2D4A"/>
    <w:multiLevelType w:val="hybridMultilevel"/>
    <w:tmpl w:val="ADC2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65AF7"/>
    <w:multiLevelType w:val="hybridMultilevel"/>
    <w:tmpl w:val="032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31C16"/>
    <w:multiLevelType w:val="hybridMultilevel"/>
    <w:tmpl w:val="527AA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E48FA"/>
    <w:multiLevelType w:val="hybridMultilevel"/>
    <w:tmpl w:val="B4747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A2102"/>
    <w:multiLevelType w:val="hybridMultilevel"/>
    <w:tmpl w:val="236C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D714D"/>
    <w:multiLevelType w:val="hybridMultilevel"/>
    <w:tmpl w:val="C3A4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C6391"/>
    <w:multiLevelType w:val="hybridMultilevel"/>
    <w:tmpl w:val="0DC4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355EF"/>
    <w:multiLevelType w:val="hybridMultilevel"/>
    <w:tmpl w:val="F45C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B077F"/>
    <w:multiLevelType w:val="hybridMultilevel"/>
    <w:tmpl w:val="82A4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B1C43"/>
    <w:multiLevelType w:val="hybridMultilevel"/>
    <w:tmpl w:val="F47E0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331D7"/>
    <w:multiLevelType w:val="hybridMultilevel"/>
    <w:tmpl w:val="821C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62ADC"/>
    <w:multiLevelType w:val="hybridMultilevel"/>
    <w:tmpl w:val="DE34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213A2"/>
    <w:multiLevelType w:val="hybridMultilevel"/>
    <w:tmpl w:val="D59C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F1FAD"/>
    <w:multiLevelType w:val="hybridMultilevel"/>
    <w:tmpl w:val="A9C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B2434"/>
    <w:multiLevelType w:val="hybridMultilevel"/>
    <w:tmpl w:val="50D450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17" w15:restartNumberingAfterBreak="0">
    <w:nsid w:val="7EF26519"/>
    <w:multiLevelType w:val="hybridMultilevel"/>
    <w:tmpl w:val="8EF839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3"/>
  </w:num>
  <w:num w:numId="5">
    <w:abstractNumId w:val="6"/>
  </w:num>
  <w:num w:numId="6">
    <w:abstractNumId w:val="12"/>
  </w:num>
  <w:num w:numId="7">
    <w:abstractNumId w:val="10"/>
  </w:num>
  <w:num w:numId="8">
    <w:abstractNumId w:val="11"/>
  </w:num>
  <w:num w:numId="9">
    <w:abstractNumId w:val="7"/>
  </w:num>
  <w:num w:numId="10">
    <w:abstractNumId w:val="9"/>
  </w:num>
  <w:num w:numId="11">
    <w:abstractNumId w:val="16"/>
  </w:num>
  <w:num w:numId="12">
    <w:abstractNumId w:val="2"/>
  </w:num>
  <w:num w:numId="13">
    <w:abstractNumId w:val="14"/>
  </w:num>
  <w:num w:numId="14">
    <w:abstractNumId w:val="4"/>
  </w:num>
  <w:num w:numId="15">
    <w:abstractNumId w:val="17"/>
  </w:num>
  <w:num w:numId="16">
    <w:abstractNumId w:val="5"/>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BC"/>
    <w:rsid w:val="000071B4"/>
    <w:rsid w:val="0002013A"/>
    <w:rsid w:val="000212A4"/>
    <w:rsid w:val="000239C6"/>
    <w:rsid w:val="00024F13"/>
    <w:rsid w:val="00041154"/>
    <w:rsid w:val="00042B53"/>
    <w:rsid w:val="00056120"/>
    <w:rsid w:val="000C25AA"/>
    <w:rsid w:val="000C7796"/>
    <w:rsid w:val="000D1E24"/>
    <w:rsid w:val="000D6DA8"/>
    <w:rsid w:val="000E5206"/>
    <w:rsid w:val="0010232C"/>
    <w:rsid w:val="001031FA"/>
    <w:rsid w:val="001061E3"/>
    <w:rsid w:val="0011067B"/>
    <w:rsid w:val="00133789"/>
    <w:rsid w:val="00152569"/>
    <w:rsid w:val="001574DD"/>
    <w:rsid w:val="00160723"/>
    <w:rsid w:val="00170089"/>
    <w:rsid w:val="001720EF"/>
    <w:rsid w:val="00180C99"/>
    <w:rsid w:val="00180EC8"/>
    <w:rsid w:val="001A7BB8"/>
    <w:rsid w:val="001A7F7B"/>
    <w:rsid w:val="001C0BA3"/>
    <w:rsid w:val="001C3587"/>
    <w:rsid w:val="001E24B7"/>
    <w:rsid w:val="001E4954"/>
    <w:rsid w:val="00217BE9"/>
    <w:rsid w:val="00237091"/>
    <w:rsid w:val="00257373"/>
    <w:rsid w:val="00261020"/>
    <w:rsid w:val="00282989"/>
    <w:rsid w:val="00292AC2"/>
    <w:rsid w:val="002A0253"/>
    <w:rsid w:val="002B2E94"/>
    <w:rsid w:val="002B3F41"/>
    <w:rsid w:val="002C1B47"/>
    <w:rsid w:val="002E454F"/>
    <w:rsid w:val="00312D9A"/>
    <w:rsid w:val="003148A6"/>
    <w:rsid w:val="00332886"/>
    <w:rsid w:val="003340D0"/>
    <w:rsid w:val="00340041"/>
    <w:rsid w:val="00340106"/>
    <w:rsid w:val="00355D8A"/>
    <w:rsid w:val="00374934"/>
    <w:rsid w:val="00374FF2"/>
    <w:rsid w:val="003944CC"/>
    <w:rsid w:val="003A2CA3"/>
    <w:rsid w:val="003A541A"/>
    <w:rsid w:val="003A7DB9"/>
    <w:rsid w:val="003A7DF8"/>
    <w:rsid w:val="003C0981"/>
    <w:rsid w:val="003C5C58"/>
    <w:rsid w:val="003F2093"/>
    <w:rsid w:val="003F749A"/>
    <w:rsid w:val="00401A6A"/>
    <w:rsid w:val="00442C76"/>
    <w:rsid w:val="0045350C"/>
    <w:rsid w:val="00453C60"/>
    <w:rsid w:val="0045596D"/>
    <w:rsid w:val="004911E2"/>
    <w:rsid w:val="004A2594"/>
    <w:rsid w:val="004A2C54"/>
    <w:rsid w:val="004B2F81"/>
    <w:rsid w:val="004C45FE"/>
    <w:rsid w:val="0050035F"/>
    <w:rsid w:val="0050466C"/>
    <w:rsid w:val="00526D0B"/>
    <w:rsid w:val="00530A5F"/>
    <w:rsid w:val="00531043"/>
    <w:rsid w:val="00533704"/>
    <w:rsid w:val="00541602"/>
    <w:rsid w:val="00542E81"/>
    <w:rsid w:val="005634A7"/>
    <w:rsid w:val="005643E8"/>
    <w:rsid w:val="00566A88"/>
    <w:rsid w:val="00570E30"/>
    <w:rsid w:val="005764C3"/>
    <w:rsid w:val="005B1368"/>
    <w:rsid w:val="005B4D41"/>
    <w:rsid w:val="005C40D8"/>
    <w:rsid w:val="005C5126"/>
    <w:rsid w:val="005E4C34"/>
    <w:rsid w:val="006041C6"/>
    <w:rsid w:val="0062161C"/>
    <w:rsid w:val="00625837"/>
    <w:rsid w:val="00635424"/>
    <w:rsid w:val="00641AD4"/>
    <w:rsid w:val="006653AA"/>
    <w:rsid w:val="00666498"/>
    <w:rsid w:val="006858F2"/>
    <w:rsid w:val="006A452F"/>
    <w:rsid w:val="006B339B"/>
    <w:rsid w:val="006C3561"/>
    <w:rsid w:val="006D1643"/>
    <w:rsid w:val="006D3F8F"/>
    <w:rsid w:val="00704262"/>
    <w:rsid w:val="0072115F"/>
    <w:rsid w:val="007279AA"/>
    <w:rsid w:val="00731044"/>
    <w:rsid w:val="00733961"/>
    <w:rsid w:val="00741FA8"/>
    <w:rsid w:val="007420D1"/>
    <w:rsid w:val="007436A6"/>
    <w:rsid w:val="00747179"/>
    <w:rsid w:val="0076381C"/>
    <w:rsid w:val="0077000C"/>
    <w:rsid w:val="00772E9E"/>
    <w:rsid w:val="00797EA0"/>
    <w:rsid w:val="007B63D3"/>
    <w:rsid w:val="007E5611"/>
    <w:rsid w:val="007E5E00"/>
    <w:rsid w:val="007F2EC9"/>
    <w:rsid w:val="00815134"/>
    <w:rsid w:val="008365E8"/>
    <w:rsid w:val="00865BB4"/>
    <w:rsid w:val="0087371F"/>
    <w:rsid w:val="00873B88"/>
    <w:rsid w:val="00877DA8"/>
    <w:rsid w:val="008A2BC4"/>
    <w:rsid w:val="008B0CD3"/>
    <w:rsid w:val="008B26BD"/>
    <w:rsid w:val="008C095F"/>
    <w:rsid w:val="008C2EBC"/>
    <w:rsid w:val="008C5697"/>
    <w:rsid w:val="008D188E"/>
    <w:rsid w:val="008D212F"/>
    <w:rsid w:val="008E5C70"/>
    <w:rsid w:val="008E7111"/>
    <w:rsid w:val="00913A63"/>
    <w:rsid w:val="009270BB"/>
    <w:rsid w:val="00942B3A"/>
    <w:rsid w:val="00972AD4"/>
    <w:rsid w:val="00974779"/>
    <w:rsid w:val="009803C3"/>
    <w:rsid w:val="00984A02"/>
    <w:rsid w:val="00987DCF"/>
    <w:rsid w:val="009914DA"/>
    <w:rsid w:val="00996CF9"/>
    <w:rsid w:val="00997DB3"/>
    <w:rsid w:val="00997EE5"/>
    <w:rsid w:val="009B1070"/>
    <w:rsid w:val="009B5383"/>
    <w:rsid w:val="009D053D"/>
    <w:rsid w:val="009D6B6A"/>
    <w:rsid w:val="009E79F4"/>
    <w:rsid w:val="00A14B30"/>
    <w:rsid w:val="00A21170"/>
    <w:rsid w:val="00A239EC"/>
    <w:rsid w:val="00A80A13"/>
    <w:rsid w:val="00A858F3"/>
    <w:rsid w:val="00A91759"/>
    <w:rsid w:val="00AA37CA"/>
    <w:rsid w:val="00AB0A57"/>
    <w:rsid w:val="00AB3DD2"/>
    <w:rsid w:val="00AC0B45"/>
    <w:rsid w:val="00AD5C57"/>
    <w:rsid w:val="00AD7189"/>
    <w:rsid w:val="00AE70EB"/>
    <w:rsid w:val="00B16EA1"/>
    <w:rsid w:val="00B24F3A"/>
    <w:rsid w:val="00B277AA"/>
    <w:rsid w:val="00B33F78"/>
    <w:rsid w:val="00B350E2"/>
    <w:rsid w:val="00B40098"/>
    <w:rsid w:val="00B44437"/>
    <w:rsid w:val="00B46451"/>
    <w:rsid w:val="00B67B72"/>
    <w:rsid w:val="00BA506C"/>
    <w:rsid w:val="00BB04DD"/>
    <w:rsid w:val="00BB7C6B"/>
    <w:rsid w:val="00BC56EC"/>
    <w:rsid w:val="00BD07A9"/>
    <w:rsid w:val="00BD59B3"/>
    <w:rsid w:val="00BD76E6"/>
    <w:rsid w:val="00C017EB"/>
    <w:rsid w:val="00C05E16"/>
    <w:rsid w:val="00C2154D"/>
    <w:rsid w:val="00C21AA7"/>
    <w:rsid w:val="00C24867"/>
    <w:rsid w:val="00C64E54"/>
    <w:rsid w:val="00C6660B"/>
    <w:rsid w:val="00C709AC"/>
    <w:rsid w:val="00C90D2D"/>
    <w:rsid w:val="00C92232"/>
    <w:rsid w:val="00CA3A2B"/>
    <w:rsid w:val="00CC4736"/>
    <w:rsid w:val="00CD2D59"/>
    <w:rsid w:val="00CD3A9D"/>
    <w:rsid w:val="00CE2B25"/>
    <w:rsid w:val="00CE31A8"/>
    <w:rsid w:val="00CE6947"/>
    <w:rsid w:val="00CF7883"/>
    <w:rsid w:val="00D0068B"/>
    <w:rsid w:val="00D12AA6"/>
    <w:rsid w:val="00D13159"/>
    <w:rsid w:val="00D20D33"/>
    <w:rsid w:val="00D21AA9"/>
    <w:rsid w:val="00D30FCC"/>
    <w:rsid w:val="00D31C90"/>
    <w:rsid w:val="00D35CD3"/>
    <w:rsid w:val="00D47B05"/>
    <w:rsid w:val="00D47DBC"/>
    <w:rsid w:val="00D6059D"/>
    <w:rsid w:val="00D61DEA"/>
    <w:rsid w:val="00D7514C"/>
    <w:rsid w:val="00D82CAE"/>
    <w:rsid w:val="00D93B79"/>
    <w:rsid w:val="00D94FA2"/>
    <w:rsid w:val="00D965A8"/>
    <w:rsid w:val="00D97898"/>
    <w:rsid w:val="00DA32B9"/>
    <w:rsid w:val="00DB3C57"/>
    <w:rsid w:val="00DC0855"/>
    <w:rsid w:val="00DC1322"/>
    <w:rsid w:val="00DC150B"/>
    <w:rsid w:val="00DC4BE6"/>
    <w:rsid w:val="00DD4B67"/>
    <w:rsid w:val="00DE411B"/>
    <w:rsid w:val="00DE4B3D"/>
    <w:rsid w:val="00DF0022"/>
    <w:rsid w:val="00DF66FE"/>
    <w:rsid w:val="00DF6E3A"/>
    <w:rsid w:val="00E02C36"/>
    <w:rsid w:val="00E10961"/>
    <w:rsid w:val="00E45811"/>
    <w:rsid w:val="00E709D1"/>
    <w:rsid w:val="00E725BC"/>
    <w:rsid w:val="00E72FF0"/>
    <w:rsid w:val="00E969DA"/>
    <w:rsid w:val="00EA1811"/>
    <w:rsid w:val="00EB6DDB"/>
    <w:rsid w:val="00EB7B65"/>
    <w:rsid w:val="00EF033C"/>
    <w:rsid w:val="00F0121C"/>
    <w:rsid w:val="00F20D5F"/>
    <w:rsid w:val="00F74E94"/>
    <w:rsid w:val="00F90384"/>
    <w:rsid w:val="00F9238F"/>
    <w:rsid w:val="00F95BD9"/>
    <w:rsid w:val="00FA15C4"/>
    <w:rsid w:val="00FA165F"/>
    <w:rsid w:val="00FC6916"/>
    <w:rsid w:val="00FD2C16"/>
    <w:rsid w:val="00FE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4E0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BC"/>
    <w:pPr>
      <w:ind w:left="720"/>
      <w:contextualSpacing/>
    </w:pPr>
  </w:style>
  <w:style w:type="character" w:styleId="CommentReference">
    <w:name w:val="annotation reference"/>
    <w:basedOn w:val="DefaultParagraphFont"/>
    <w:uiPriority w:val="99"/>
    <w:semiHidden/>
    <w:unhideWhenUsed/>
    <w:rsid w:val="00EF033C"/>
    <w:rPr>
      <w:sz w:val="18"/>
      <w:szCs w:val="18"/>
    </w:rPr>
  </w:style>
  <w:style w:type="paragraph" w:styleId="CommentText">
    <w:name w:val="annotation text"/>
    <w:basedOn w:val="Normal"/>
    <w:link w:val="CommentTextChar"/>
    <w:uiPriority w:val="99"/>
    <w:semiHidden/>
    <w:unhideWhenUsed/>
    <w:rsid w:val="00EF033C"/>
  </w:style>
  <w:style w:type="character" w:customStyle="1" w:styleId="CommentTextChar">
    <w:name w:val="Comment Text Char"/>
    <w:basedOn w:val="DefaultParagraphFont"/>
    <w:link w:val="CommentText"/>
    <w:uiPriority w:val="99"/>
    <w:semiHidden/>
    <w:rsid w:val="00EF033C"/>
  </w:style>
  <w:style w:type="paragraph" w:styleId="CommentSubject">
    <w:name w:val="annotation subject"/>
    <w:basedOn w:val="CommentText"/>
    <w:next w:val="CommentText"/>
    <w:link w:val="CommentSubjectChar"/>
    <w:uiPriority w:val="99"/>
    <w:semiHidden/>
    <w:unhideWhenUsed/>
    <w:rsid w:val="00EF033C"/>
    <w:rPr>
      <w:b/>
      <w:bCs/>
      <w:sz w:val="20"/>
      <w:szCs w:val="20"/>
    </w:rPr>
  </w:style>
  <w:style w:type="character" w:customStyle="1" w:styleId="CommentSubjectChar">
    <w:name w:val="Comment Subject Char"/>
    <w:basedOn w:val="CommentTextChar"/>
    <w:link w:val="CommentSubject"/>
    <w:uiPriority w:val="99"/>
    <w:semiHidden/>
    <w:rsid w:val="00EF033C"/>
    <w:rPr>
      <w:b/>
      <w:bCs/>
      <w:sz w:val="20"/>
      <w:szCs w:val="20"/>
    </w:rPr>
  </w:style>
  <w:style w:type="paragraph" w:styleId="BalloonText">
    <w:name w:val="Balloon Text"/>
    <w:basedOn w:val="Normal"/>
    <w:link w:val="BalloonTextChar"/>
    <w:uiPriority w:val="99"/>
    <w:semiHidden/>
    <w:unhideWhenUsed/>
    <w:rsid w:val="00EF033C"/>
    <w:rPr>
      <w:sz w:val="18"/>
      <w:szCs w:val="18"/>
    </w:rPr>
  </w:style>
  <w:style w:type="character" w:customStyle="1" w:styleId="BalloonTextChar">
    <w:name w:val="Balloon Text Char"/>
    <w:basedOn w:val="DefaultParagraphFont"/>
    <w:link w:val="BalloonText"/>
    <w:uiPriority w:val="99"/>
    <w:semiHidden/>
    <w:rsid w:val="00EF033C"/>
    <w:rPr>
      <w:sz w:val="18"/>
      <w:szCs w:val="18"/>
    </w:rPr>
  </w:style>
  <w:style w:type="paragraph" w:styleId="Header">
    <w:name w:val="header"/>
    <w:basedOn w:val="Normal"/>
    <w:link w:val="HeaderChar"/>
    <w:uiPriority w:val="99"/>
    <w:unhideWhenUsed/>
    <w:rsid w:val="001E4954"/>
    <w:pPr>
      <w:tabs>
        <w:tab w:val="center" w:pos="4320"/>
        <w:tab w:val="right" w:pos="8640"/>
      </w:tabs>
    </w:pPr>
  </w:style>
  <w:style w:type="character" w:customStyle="1" w:styleId="HeaderChar">
    <w:name w:val="Header Char"/>
    <w:basedOn w:val="DefaultParagraphFont"/>
    <w:link w:val="Header"/>
    <w:uiPriority w:val="99"/>
    <w:rsid w:val="001E4954"/>
  </w:style>
  <w:style w:type="paragraph" w:styleId="Footer">
    <w:name w:val="footer"/>
    <w:basedOn w:val="Normal"/>
    <w:link w:val="FooterChar"/>
    <w:unhideWhenUsed/>
    <w:rsid w:val="001E4954"/>
    <w:pPr>
      <w:tabs>
        <w:tab w:val="center" w:pos="4320"/>
        <w:tab w:val="right" w:pos="8640"/>
      </w:tabs>
    </w:pPr>
  </w:style>
  <w:style w:type="character" w:customStyle="1" w:styleId="FooterChar">
    <w:name w:val="Footer Char"/>
    <w:basedOn w:val="DefaultParagraphFont"/>
    <w:link w:val="Footer"/>
    <w:uiPriority w:val="99"/>
    <w:rsid w:val="001E4954"/>
  </w:style>
  <w:style w:type="table" w:styleId="TableGrid">
    <w:name w:val="Table Grid"/>
    <w:basedOn w:val="TableNormal"/>
    <w:uiPriority w:val="39"/>
    <w:rsid w:val="009E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C76"/>
    <w:rPr>
      <w:color w:val="0563C1" w:themeColor="hyperlink"/>
      <w:u w:val="single"/>
    </w:rPr>
  </w:style>
  <w:style w:type="character" w:styleId="FollowedHyperlink">
    <w:name w:val="FollowedHyperlink"/>
    <w:basedOn w:val="DefaultParagraphFont"/>
    <w:uiPriority w:val="99"/>
    <w:semiHidden/>
    <w:unhideWhenUsed/>
    <w:rsid w:val="006D3F8F"/>
    <w:rPr>
      <w:color w:val="954F72" w:themeColor="followedHyperlink"/>
      <w:u w:val="single"/>
    </w:rPr>
  </w:style>
  <w:style w:type="paragraph" w:styleId="Revision">
    <w:name w:val="Revision"/>
    <w:hidden/>
    <w:uiPriority w:val="99"/>
    <w:semiHidden/>
    <w:rsid w:val="00641AD4"/>
  </w:style>
  <w:style w:type="character" w:customStyle="1" w:styleId="UnresolvedMention1">
    <w:name w:val="Unresolved Mention1"/>
    <w:basedOn w:val="DefaultParagraphFont"/>
    <w:uiPriority w:val="99"/>
    <w:rsid w:val="004C45FE"/>
    <w:rPr>
      <w:color w:val="808080"/>
      <w:shd w:val="clear" w:color="auto" w:fill="E6E6E6"/>
    </w:rPr>
  </w:style>
  <w:style w:type="character" w:styleId="UnresolvedMention">
    <w:name w:val="Unresolved Mention"/>
    <w:basedOn w:val="DefaultParagraphFont"/>
    <w:uiPriority w:val="99"/>
    <w:rsid w:val="007420D1"/>
    <w:rPr>
      <w:color w:val="605E5C"/>
      <w:shd w:val="clear" w:color="auto" w:fill="E1DFDD"/>
    </w:rPr>
  </w:style>
  <w:style w:type="paragraph" w:styleId="NormalWeb">
    <w:name w:val="Normal (Web)"/>
    <w:basedOn w:val="Normal"/>
    <w:uiPriority w:val="99"/>
    <w:unhideWhenUsed/>
    <w:rsid w:val="007B63D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99197">
      <w:bodyDiv w:val="1"/>
      <w:marLeft w:val="0"/>
      <w:marRight w:val="0"/>
      <w:marTop w:val="0"/>
      <w:marBottom w:val="0"/>
      <w:divBdr>
        <w:top w:val="none" w:sz="0" w:space="0" w:color="auto"/>
        <w:left w:val="none" w:sz="0" w:space="0" w:color="auto"/>
        <w:bottom w:val="none" w:sz="0" w:space="0" w:color="auto"/>
        <w:right w:val="none" w:sz="0" w:space="0" w:color="auto"/>
      </w:divBdr>
    </w:div>
    <w:div w:id="652877895">
      <w:bodyDiv w:val="1"/>
      <w:marLeft w:val="0"/>
      <w:marRight w:val="0"/>
      <w:marTop w:val="0"/>
      <w:marBottom w:val="0"/>
      <w:divBdr>
        <w:top w:val="none" w:sz="0" w:space="0" w:color="auto"/>
        <w:left w:val="none" w:sz="0" w:space="0" w:color="auto"/>
        <w:bottom w:val="none" w:sz="0" w:space="0" w:color="auto"/>
        <w:right w:val="none" w:sz="0" w:space="0" w:color="auto"/>
      </w:divBdr>
      <w:divsChild>
        <w:div w:id="990674083">
          <w:marLeft w:val="0"/>
          <w:marRight w:val="0"/>
          <w:marTop w:val="0"/>
          <w:marBottom w:val="0"/>
          <w:divBdr>
            <w:top w:val="none" w:sz="0" w:space="0" w:color="auto"/>
            <w:left w:val="none" w:sz="0" w:space="0" w:color="auto"/>
            <w:bottom w:val="none" w:sz="0" w:space="0" w:color="auto"/>
            <w:right w:val="none" w:sz="0" w:space="0" w:color="auto"/>
          </w:divBdr>
          <w:divsChild>
            <w:div w:id="22945322">
              <w:marLeft w:val="0"/>
              <w:marRight w:val="0"/>
              <w:marTop w:val="0"/>
              <w:marBottom w:val="0"/>
              <w:divBdr>
                <w:top w:val="none" w:sz="0" w:space="0" w:color="auto"/>
                <w:left w:val="none" w:sz="0" w:space="0" w:color="auto"/>
                <w:bottom w:val="none" w:sz="0" w:space="0" w:color="auto"/>
                <w:right w:val="none" w:sz="0" w:space="0" w:color="auto"/>
              </w:divBdr>
              <w:divsChild>
                <w:div w:id="17487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4339">
      <w:bodyDiv w:val="1"/>
      <w:marLeft w:val="0"/>
      <w:marRight w:val="0"/>
      <w:marTop w:val="0"/>
      <w:marBottom w:val="0"/>
      <w:divBdr>
        <w:top w:val="none" w:sz="0" w:space="0" w:color="auto"/>
        <w:left w:val="none" w:sz="0" w:space="0" w:color="auto"/>
        <w:bottom w:val="none" w:sz="0" w:space="0" w:color="auto"/>
        <w:right w:val="none" w:sz="0" w:space="0" w:color="auto"/>
      </w:divBdr>
      <w:divsChild>
        <w:div w:id="1878158829">
          <w:marLeft w:val="0"/>
          <w:marRight w:val="0"/>
          <w:marTop w:val="0"/>
          <w:marBottom w:val="0"/>
          <w:divBdr>
            <w:top w:val="none" w:sz="0" w:space="0" w:color="auto"/>
            <w:left w:val="none" w:sz="0" w:space="0" w:color="auto"/>
            <w:bottom w:val="none" w:sz="0" w:space="0" w:color="auto"/>
            <w:right w:val="none" w:sz="0" w:space="0" w:color="auto"/>
          </w:divBdr>
          <w:divsChild>
            <w:div w:id="744105676">
              <w:marLeft w:val="0"/>
              <w:marRight w:val="0"/>
              <w:marTop w:val="0"/>
              <w:marBottom w:val="0"/>
              <w:divBdr>
                <w:top w:val="single" w:sz="6" w:space="0" w:color="2F3B44"/>
                <w:left w:val="none" w:sz="0" w:space="0" w:color="2F3B44"/>
                <w:bottom w:val="none" w:sz="0" w:space="0" w:color="2F3B44"/>
                <w:right w:val="none" w:sz="0" w:space="0" w:color="2F3B44"/>
              </w:divBdr>
              <w:divsChild>
                <w:div w:id="58209001">
                  <w:marLeft w:val="0"/>
                  <w:marRight w:val="0"/>
                  <w:marTop w:val="0"/>
                  <w:marBottom w:val="0"/>
                  <w:divBdr>
                    <w:top w:val="none" w:sz="0" w:space="0" w:color="auto"/>
                    <w:left w:val="none" w:sz="0" w:space="0" w:color="auto"/>
                    <w:bottom w:val="none" w:sz="0" w:space="0" w:color="auto"/>
                    <w:right w:val="none" w:sz="0" w:space="0" w:color="auto"/>
                  </w:divBdr>
                  <w:divsChild>
                    <w:div w:id="1017316809">
                      <w:marLeft w:val="0"/>
                      <w:marRight w:val="0"/>
                      <w:marTop w:val="0"/>
                      <w:marBottom w:val="0"/>
                      <w:divBdr>
                        <w:top w:val="none" w:sz="0" w:space="0" w:color="auto"/>
                        <w:left w:val="none" w:sz="0" w:space="0" w:color="auto"/>
                        <w:bottom w:val="none" w:sz="0" w:space="0" w:color="auto"/>
                        <w:right w:val="none" w:sz="0" w:space="0" w:color="auto"/>
                      </w:divBdr>
                      <w:divsChild>
                        <w:div w:id="1850100876">
                          <w:marLeft w:val="0"/>
                          <w:marRight w:val="0"/>
                          <w:marTop w:val="0"/>
                          <w:marBottom w:val="0"/>
                          <w:divBdr>
                            <w:top w:val="none" w:sz="0" w:space="0" w:color="auto"/>
                            <w:left w:val="none" w:sz="0" w:space="0" w:color="auto"/>
                            <w:bottom w:val="none" w:sz="0" w:space="0" w:color="auto"/>
                            <w:right w:val="none" w:sz="0" w:space="0" w:color="auto"/>
                          </w:divBdr>
                          <w:divsChild>
                            <w:div w:id="1619487164">
                              <w:marLeft w:val="0"/>
                              <w:marRight w:val="0"/>
                              <w:marTop w:val="0"/>
                              <w:marBottom w:val="0"/>
                              <w:divBdr>
                                <w:top w:val="none" w:sz="0" w:space="0" w:color="auto"/>
                                <w:left w:val="none" w:sz="0" w:space="0" w:color="auto"/>
                                <w:bottom w:val="none" w:sz="0" w:space="0" w:color="auto"/>
                                <w:right w:val="none" w:sz="0" w:space="0" w:color="auto"/>
                              </w:divBdr>
                              <w:divsChild>
                                <w:div w:id="1918318830">
                                  <w:marLeft w:val="-225"/>
                                  <w:marRight w:val="-225"/>
                                  <w:marTop w:val="0"/>
                                  <w:marBottom w:val="0"/>
                                  <w:divBdr>
                                    <w:top w:val="none" w:sz="0" w:space="0" w:color="auto"/>
                                    <w:left w:val="none" w:sz="0" w:space="0" w:color="auto"/>
                                    <w:bottom w:val="none" w:sz="0" w:space="0" w:color="auto"/>
                                    <w:right w:val="none" w:sz="0" w:space="0" w:color="auto"/>
                                  </w:divBdr>
                                  <w:divsChild>
                                    <w:div w:id="902182962">
                                      <w:marLeft w:val="0"/>
                                      <w:marRight w:val="0"/>
                                      <w:marTop w:val="0"/>
                                      <w:marBottom w:val="0"/>
                                      <w:divBdr>
                                        <w:top w:val="none" w:sz="0" w:space="0" w:color="auto"/>
                                        <w:left w:val="none" w:sz="0" w:space="0" w:color="auto"/>
                                        <w:bottom w:val="none" w:sz="0" w:space="0" w:color="auto"/>
                                        <w:right w:val="none" w:sz="0" w:space="0" w:color="auto"/>
                                      </w:divBdr>
                                      <w:divsChild>
                                        <w:div w:id="1747457984">
                                          <w:marLeft w:val="-225"/>
                                          <w:marRight w:val="-225"/>
                                          <w:marTop w:val="0"/>
                                          <w:marBottom w:val="0"/>
                                          <w:divBdr>
                                            <w:top w:val="none" w:sz="0" w:space="0" w:color="auto"/>
                                            <w:left w:val="none" w:sz="0" w:space="0" w:color="auto"/>
                                            <w:bottom w:val="none" w:sz="0" w:space="0" w:color="auto"/>
                                            <w:right w:val="none" w:sz="0" w:space="0" w:color="auto"/>
                                          </w:divBdr>
                                          <w:divsChild>
                                            <w:div w:id="8979351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4405585">
                                  <w:marLeft w:val="-225"/>
                                  <w:marRight w:val="-225"/>
                                  <w:marTop w:val="0"/>
                                  <w:marBottom w:val="0"/>
                                  <w:divBdr>
                                    <w:top w:val="none" w:sz="0" w:space="0" w:color="auto"/>
                                    <w:left w:val="none" w:sz="0" w:space="0" w:color="auto"/>
                                    <w:bottom w:val="none" w:sz="0" w:space="0" w:color="auto"/>
                                    <w:right w:val="none" w:sz="0" w:space="0" w:color="auto"/>
                                  </w:divBdr>
                                  <w:divsChild>
                                    <w:div w:id="333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Rjournal@uncw.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crc@uncw.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8538C-AB4F-4412-9ED1-12940E12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DeVall, Kristen</cp:lastModifiedBy>
  <cp:revision>8</cp:revision>
  <cp:lastPrinted>2019-03-28T16:25:00Z</cp:lastPrinted>
  <dcterms:created xsi:type="dcterms:W3CDTF">2020-08-07T15:03:00Z</dcterms:created>
  <dcterms:modified xsi:type="dcterms:W3CDTF">2020-08-17T17:18:00Z</dcterms:modified>
</cp:coreProperties>
</file>